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研究人员往往需要为不同模式重复维护数据整理和读取程序。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本文适配MATLAB、Octave、Python和R对新版数据的自动获取，并新增C和Fortran的自动获取入口。OISST V2.1标准化后与独立参考逐点一致；ELEV和LAI的直接NetCDF读取降低了外层归档带来的访问开销；代表性数据在FTP和Zenodo镜像之间保持文件大小和SHA-256一致；14类陆面数据和8类ERA5逐时数据能够形成US-NR1的模式输入并完成Emerald初始化和60 s首步。结果表明，更新后的GriddingMachine能够减少多源网格数据在预处理、获取、检查和模式接入过程中的重复工作，为地球系统模式研究提供可复用的数据组织和调用基础。</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depend on global gridded datasets maintained by different institutions and product systems. Even when standardized formats such as NetCDF are used, source-processing rules, standardized product identities, network replicas, and the data structures actually consumed by models may evolve in separate maintenance layers. Building on the 2022 release, this study reorganizes GriddingMachine into a continuous data lifecycle comprising a data production and standardization layer, a catalog and trusted-distribution layer, and a model-input organization layer. A shared YAML contract drives source-dimension mapping, coordinate and numerical transformations, missing-value treatment, and quality control. An independent catalog manages logical labels, mirrors, and integrity metadata, while direct NetCDF and transactional acquisition verify file size and SHA-256 for entries that carry integrity records. Unified reading, land-parameter assembly, and meteorological forcing organization connect standardized products to model interfaces. NOAA OISST V2.1 was transformed from a four-dimensional source layout to a standardized 1440 × 720 grid, with 691,150 finite cells matching an independently decoded reference point by point. For the internally compressed ELEV and LAI products, direct NetCDF reduced median warm-cache end-to-end time by 48.3% and 82.9%, respectively, in environment A and by 53.6% and 69.2% in environment B. Four representative products were downloaded 24 times from FTP and Zenodo on the campus network, with file sizes and SHA-256 digests matching catalog records. Fourteen land products and eight hourly ERA5 products supplied model parameters and forcing for US-NR1; all 8,784 time steps in eight fields matched direct NetCDF reads, and Emerald initialization and a 60 s first step completed with finite states. The updated GriddingMachine connects heterogeneous-source production, standardized-product registration, integrity-verified acquisition, and model-input organization into an executable lifecycle for Earth system modeling.</w:t>
      </w:r>
    </w:p>
    <w:p>
      <w:r>
        <w:rPr>
          <w:rFonts w:ascii="Times New Roman" w:hAnsi="Times New Roman" w:eastAsia="宋体"/>
          <w:b/>
        </w:rPr>
        <w:t>Keywords:</w:t>
      </w:r>
      <w:r>
        <w:rPr>
          <w:rFonts w:ascii="Times New Roman" w:hAnsi="Times New Roman" w:eastAsia="宋体"/>
        </w:rPr>
        <w:t xml:space="preserve"> Earth system modeling; global gridded data; data lifecycle;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陆地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面向本地模式运行建立具有统一空间、变量和元数据约定的科研数据库，对于减少重复整理和保证输入一致性具有实际意义。</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提升了大尺度遥感数据的访问和分析能力[3]，但云端访问并不能替代面向固定版本、离线缓存和模式直接调用的本地数据组织。现有标准和平台改善了数据表达、发现、计算或访问，却不会自动解决源数据处理规则、数据标识、网络副本和模式输入字段之间的一致性问题。</w:t>
      </w:r>
    </w:p>
    <w:p>
      <w:r>
        <w:rPr>
          <w:rFonts w:ascii="Times New Roman" w:hAnsi="Times New Roman" w:eastAsia="宋体"/>
        </w:rPr>
        <w:t>Wang等[4]于2022年发布了基于Julia语言的GriddingMachine数据库和软件，用于将常用于陆面和地球系统模拟的全球数据处理为具有统一空间和变量约定的NetCDF文件，并通过标签、Artifacts.toml和Julia 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NetCDF保持衔接。</w:t>
      </w:r>
    </w:p>
    <w:p>
      <w:r>
        <w:rPr>
          <w:rFonts w:ascii="Times New Roman" w:hAnsi="Times New Roman" w:eastAsia="宋体"/>
        </w:rPr>
        <w:t>本文在2022版GriddingMachine基础上，更新数据预处理、数据分发和数据读取流程，形成数据生产与标准化、数据目录与获取、模式输入组织三个相互衔接的环节。研究通过受控配置和维度变换实例、OISST V2.1标准化、ELEV与LAI分发效率比较、FTP—Zenodo镜像获取以及US-NR1模式输入案例，评价新版框架的数据一致性、可执行性和接口适配能力；同时适配MATLAB、Octave、Python和R对新版数据的自动获取，并新增C和Fortran的自动获取入口。</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式输入组织层以稳定标签连接统一读取、陆面参数融合和气象驱动组织，使标准产品形成满足模型接口要求的数据结构。三层共同构成“异构数据生产—产品登记与完整性核验—模式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式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