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与8类ERA5逐时产品在US-NR1形成参数和气象驱动，8784个时间步与底层NetCDF读取逐点一致，并完成Emerald初始化和60 s首步计算。新版GriddingMachine由此形成面向全球规则网格数据的可配置生产、可信分发和模型就绪应用框架，为地球系统数据产品的持续维护与复用提供轻量化基础设施。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and eight hourly ERA5 products supplied land parameters and meteorological forcing for US-NR1; all 8,784 time steps matched direct NetCDF reads, and Emerald initialization and a 60 s first step completed with finite states.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[9]、高程（ELEV）与叶面积指数（LAI）产品分发效率、FTP—Zenodo镜像访问，以及由14类陆面产品和8类ERA5逐时产品[10]构成的US-NR1模型应用，分别呈现该框架的标准化能力、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统一的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方向正确与南北反转的非对称位置编码图得到准确区分。YAML中的</w:t>
      </w:r>
      <w:r>
        <w:rPr>
          <w:rFonts w:ascii="Consolas" w:hAnsi="Consolas" w:eastAsia="等线"/>
        </w:rPr>
        <w:t>VERIFY_ONCE</w:t>
      </w:r>
      <w:r>
        <w:rPr>
          <w:rFonts w:ascii="Times New Roman" w:hAnsi="Times New Roman" w:eastAsia="宋体"/>
        </w:rPr>
        <w:t>用于管理同一配置组合的首次确认状态，人工空间判断与自动坐标、结构和逐点数值检查共同组成方向质量控制体系。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版本化指南与包含固定输入路径、完整YAML示例的贡献模板进一步连接各环节，使最终NetCDF、目录项与下游读取保持一致。</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连接远端目录获取、结构确认和版本切换，实现数据目录的独立发布与持续更新。</w:t>
      </w:r>
    </w:p>
    <w:p>
      <w:pPr>
        <w:pStyle w:val="Heading3"/>
      </w:pPr>
      <w:r>
        <w:rPr>
          <w:rFonts w:ascii="Times New Roman" w:hAnsi="Times New Roman" w:eastAsia="宋体"/>
        </w:rPr>
        <w:t>2.4.2 镜像选择与事务式缓存</w:t>
      </w:r>
    </w:p>
    <w:p>
      <w:r>
        <w:rPr>
          <w:rFonts w:ascii="Times New Roman" w:hAnsi="Times New Roman" w:eastAsia="宋体"/>
        </w:rPr>
        <w:t>产品获取接口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全库同步在更新目录后遍历标签并复用相同事务逻辑；历史数据整理、目录树和数据集状态查询形成配套维护接口。相关命令、参数和状态恢复方式集中列入补充材料与版本化用户指南。</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。读取层直接继承生产端统一的单位、缺失值和物理范围，使处理规则集中于共享生产契约，并兼容既有读取方式。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维度、360×180×8784形状及单位属性。应用层输出与底层NetCDF直接读取的同一格点序列逐点比较；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新版GriddingMachine的主要功能与应用表现汇总于表4。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14类陆面产品与8类ERA5产品形成US-NR1模型输入，8784个逐时值逐字段一致并完成Emerald首步</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应用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严格递增且与独立公式逐点一致。气象组织层形成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mm。该数值尺度与ERA5逐小时累计降水的米制表达[11]及Emerald由水层厚度转换为摩尔通量的适配关系一致。本轮更新据此将生产端降水单位属性统一为</w:t>
      </w:r>
      <w:r>
        <w:rPr>
          <w:rFonts w:ascii="Consolas" w:hAnsi="Consolas" w:eastAsia="等线"/>
        </w:rPr>
        <w:t>m</w:t>
      </w:r>
      <w:r>
        <w:rPr>
          <w:rFonts w:ascii="Times New Roman" w:hAnsi="Times New Roman" w:eastAsia="宋体"/>
        </w:rPr>
        <w:t>，使标准产品元数据、数值尺度和模型换算形成一致的量纲链条。真实年度案例由此将模型就绪应用从字段组织推进到格点提取、时间轴构建、量纲衔接和模型首步计算的完整过程。</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公共网络中的Zenodo下载和校园网中的FTP—Zenodo对照均通过完整性核验，共同呈现公共镜像与机构镜像的互补价值。</w:t>
      </w:r>
    </w:p>
    <w:p>
      <w:r>
        <w:rPr>
          <w:rFonts w:ascii="Times New Roman" w:hAnsi="Times New Roman" w:eastAsia="宋体"/>
        </w:rPr>
        <w:t>GriddingMachine、GriddingMachineDatasets、Emerald及研究材料仓库的持续集成工作流连接统一依赖、确定性参考数据和模型接口，使软件更新持续继承本文建立的数据生产、可信分发和模型调用能力。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把这一数据集合扩展为可维护的生命周期框架：共享YAML契约保存异构源数据的处理意图，独立目录与事务缓存连接机构和公共镜像，模型就绪层组织陆面参数与逐时气象驱动。OISST、ELEV/LAI、FTP—Zenodo及US-NR1案例分别从生产、分发和应用层呈现框架能力，使数据产品的生成依据、网络副本、内容摘要与模型字段建立可追踪联系。</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[12]；Pangeo倡导分析就绪、云优化数据以及计算与数据邻近的云原生模式[13]，Pangeo Forge进一步以可复用配方和目录组织分析就绪数据生产[14]。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[14]，本文流程侧重可直接下载的单体NetCDF、离线缓存、完整性落盘和固定模型接口。云优化分块格式适配超大规模近数据计算[13]，ESGF适配CMIP等机构联合治理[12]，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[15]；Pooch以文件名、URL和SHA-256注册表实现远端文件获取、本地缓存和完整性校验[16]；STAC为广泛地理空间资产提供通用元数据结构与查询标准[17]。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[18]；TRUST原则进一步提出透明度、责任、用户关注、可持续性和技术能力[19]。对我国国家科学数据中心的调研也显示，标准化元数据、持久标识与清晰的数据使用信息是提升科学数据复用水平的重要环节[20]。</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数据贡献模板、规则网格索引、陆面状态分流、参数融合及气象驱动组织共同构成数据产品与地球系统模型之间的轻量中间层。真实案例推动模型就绪层形成覆盖字段、形状、时间轴和量纲关系的质量契约，并为多区域、多年份、长期积分及多模型适配提供可复用的数据入口。</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与8类ERA5逐时产品在US-NR1形成参数和气象驱动，8个气象字段的8784个时间步与底层NetCDF逐点一致，并完成Emerald初始化和60 s首步计算。</w:t>
      </w:r>
    </w:p>
    <w:p>
      <w:r>
        <w:rPr>
          <w:rFonts w:ascii="Times New Roman" w:hAnsi="Times New Roman" w:eastAsia="宋体"/>
        </w:rPr>
        <w:t>GriddingMachine由此形成面向地球系统模型的轻量数据生产与可信分发基础设施。海温产品生产、双镜像分发以及陆面—气象参数联合组织共同体现框架对全球规则网格数据的贯通能力；ERA5案例进一步贯通真实逐时气象产品的格点读取、时间组织、量纲适配和模型调用，为多区域、多时段产品及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标准NetCDF产品通过项目镜像提供；PPT修订制品当前以V1_R1物理文件发布于机构FTP，逻辑标签保持V1。ERA5大文件尚未同步Zenodo是上传耗时安排，后续可在不改变逻辑标签的情况下补充公共镜像。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