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完成框架更新，形成贯通数据生产、质量控制、多镜像分发、统一读取和模型调用的数据生命周期。新版以共享模式（schema）和YAML配置驱动源维度映射、坐标转换、数值变换与Gapfill，采用独立目录管理逻辑路径、镜像地址及完整性元数据，通过直接NetCDF和事务式缓存实现可信获取，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提供模型就绪数据。NOAA OISST V2.1真实产品由</w:t>
      </w:r>
      <w:r>
        <w:rPr>
          <w:rFonts w:ascii="Consolas" w:hAnsi="Consolas" w:eastAsia="等线"/>
        </w:rPr>
        <w:t>time×zlev×lat×lon</w:t>
      </w:r>
      <w:r>
        <w:rPr>
          <w:rFonts w:ascii="Times New Roman" w:hAnsi="Times New Roman" w:eastAsia="宋体"/>
        </w:rPr>
        <w:t>四维源结构转换为1440×720标准网格，691 150个有效格点及345 650个缺失格点与独立参考逐点一致；直接NetCDF使两个内部压缩产品的暖缓存端到端中位时间降低48.3%～82.9%和53.6%～69.2%；校园网内4个代表性产品经FTP和Zenodo完成24次内容一致的真实下载；14类真实陆面产品成功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advances GriddingMachine into an integrated lifecycle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direct NetCDF and transactional caching support trustworthy acquisition;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provide model-ready access. A real NOAA OISST V2.1 product was transformed from a four-dimensional </w:t>
      </w:r>
      <w:r>
        <w:rPr>
          <w:rFonts w:ascii="Consolas" w:hAnsi="Consolas" w:eastAsia="等线"/>
        </w:rPr>
        <w:t>time × zlev × lat × lon</w:t>
      </w:r>
      <w:r>
        <w:rPr>
          <w:rFonts w:ascii="Times New Roman" w:hAnsi="Times New Roman" w:eastAsia="宋体"/>
        </w:rPr>
        <w:t xml:space="preserve"> source structure to a standardized 1440 × 720 grid, with 691,150 finite and 345,650 missing grid cells matching an independently decoded reference point by point. Direct NetCDF reduced median warm-cache end-to-end time by 48.3%–82.9% and 53.6%–69.2% for two internally compressed products. Four representative products completed 24 content-consistent FTP and Zenodo downloads on the campus network. Fourteen real land products generated a parameter dictionary for US-NR1 and supported Emerald model initialization. The updated GriddingMachine therefore provides a lightweight infrastructure for configurable production, trustworthy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针对上述问题，本研究围绕2022版的实际使用需求更新GriddingMachine，并将创新重点置于可执行的数据生命周期契约。在数据生产端，配置模板与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对已登记</w:t>
      </w:r>
      <w:r>
        <w:rPr>
          <w:rFonts w:ascii="Consolas" w:hAnsi="Consolas" w:eastAsia="等线"/>
        </w:rPr>
        <w:t>SIZE/SHA256</w:t>
      </w:r>
      <w:r>
        <w:rPr>
          <w:rFonts w:ascii="Times New Roman" w:hAnsi="Times New Roman" w:eastAsia="宋体"/>
        </w:rPr>
        <w:t>的条目在cache下载后执行严格完整性核验；在数据使用端，以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组织Emerald初始化数据。本文以Julia主路径系统呈现新版目录、下载状态机和模型接口的协同更新。</w:t>
      </w:r>
    </w:p>
    <w:p>
      <w:r>
        <w:rPr>
          <w:rFonts w:ascii="Times New Roman" w:hAnsi="Times New Roman" w:eastAsia="宋体"/>
        </w:rPr>
        <w:t>围绕全球网格数据从生产到模型应用的完整生命周期，本文构建共享YAML生产契约、独立数据目录、直接NetCDF分发、多镜像事务获取和模型就绪接口，并以标准产品生产、真实镜像访问和真实陆面数据应用展示新版框架的完整工作流。该更新将数据维护逻辑由分散脚本提升为可配置基础设施，使研究人员能够通过统一标签获得具有明确来源、处理记录和完整性信息的模型输入。</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通过质量控制的数据产品可发布到机构FTP、HTTP(S)服务或Zenodo等公共存储位置。一个标签可以对应多个镜像地址；独立的</w:t>
      </w:r>
      <w:r>
        <w:rPr>
          <w:rFonts w:ascii="Consolas" w:hAnsi="Consolas" w:eastAsia="等线"/>
        </w:rPr>
        <w:t>Artifacts.yaml</w:t>
      </w:r>
      <w:r>
        <w:rPr>
          <w:rFonts w:ascii="Times New Roman" w:hAnsi="Times New Roman" w:eastAsia="宋体"/>
        </w:rPr>
        <w:t>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显式设置本地根目录与目录来源。目录下载经临时文件完成schema校验和事务式替换，并保留上一有效版本。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提取各URL的主机名，以可获得的平均往返延迟辅助确定候选顺序，同时完整保留全部镜像并依次回退。每次调用创建独立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，异常缓存随当前尝试清理。历史目录通过兼容模式继续提供数据获取能力，新目录形成内容完整、来源清晰的分发链。Indexer通过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进一步组织Emerald所需参数和气象驱动。14类真实</w:t>
      </w:r>
      <w:r>
        <w:rPr>
          <w:rFonts w:ascii="Consolas" w:hAnsi="Consolas" w:eastAsia="等线"/>
        </w:rPr>
        <w:t>gm2</w:t>
      </w:r>
      <w:r>
        <w:rPr>
          <w:rFonts w:ascii="Times New Roman" w:hAnsi="Times New Roman" w:eastAsia="宋体"/>
        </w:rPr>
        <w:t>产品已经贯通陆面参数链路并进入Emerald初始化，2020年ERA5序列将继续拓展真实</w:t>
      </w:r>
      <w:r>
        <w:rPr>
          <w:rFonts w:ascii="Consolas" w:hAnsi="Consolas" w:eastAsia="等线"/>
        </w:rPr>
        <w:t>wd1</w:t>
      </w:r>
      <w:r>
        <w:rPr>
          <w:rFonts w:ascii="Times New Roman" w:hAnsi="Times New Roman" w:eastAsia="宋体"/>
        </w:rPr>
        <w:t>气象驱动应用。</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从标准产品生产、可信分发、统一读取和模型应用四个方面呈现这一闭环。</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真实陆面产品与Emerald模型接口顺利贯通</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summarizes implemented capabilities, workflow improvements, and validation progress.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包含单位、可读说明；可映射时使用CF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元数据随产品生成并进入统一目录</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产品保留完整来源和处理上下文</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记录生产软件release、YAML schema版本和配置哈希</w:t>
            </w:r>
          </w:p>
        </w:tc>
        <w:tc>
          <w:tcPr>
            <w:tcW w:type="dxa" w:w="3060"/>
          </w:tcPr>
          <w:p>
            <w:r>
              <w:rPr>
                <w:sz w:val="18"/>
              </w:rPr>
            </w:r>
            <w:r>
              <w:rPr>
                <w:rFonts w:ascii="Times New Roman" w:hAnsi="Times New Roman" w:eastAsia="宋体"/>
                <w:sz w:val="18"/>
              </w:rPr>
              <w:t>同一配置可重建相应标准产品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。版本化schema同时承接历史配置，并持续扩展来源、许可、引用和输出NetCDF溯源属性。</w:t>
      </w:r>
    </w:p>
    <w:p>
      <w:pPr>
        <w:pStyle w:val="Heading3"/>
      </w:pPr>
      <w:r>
        <w:rPr>
          <w:rFonts w:ascii="Times New Roman" w:hAnsi="Times New Roman" w:eastAsia="宋体"/>
        </w:rPr>
        <w:t>2.2.3 最小YAML配置示例</w:t>
      </w:r>
    </w:p>
    <w:p>
      <w:r>
        <w:rPr>
          <w:rFonts w:ascii="Times New Roman" w:hAnsi="Times New Roman" w:eastAsia="宋体"/>
        </w:rPr>
        <w:t>P01代表性贡献流程使用二维非对称参考数据呈现配置与处理操作的对应关系。源变量采用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，逐点结果与独立金标准一致。完整YAML、字段字典、命令和目录说明保存在贡献指南中，真实数据配置进一步记录来源、许可、引用和复杂时间坐标。</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描述处理契约，输出位置由调用者配置。构建器生成的配置可直接交给</w:t>
      </w:r>
      <w:r>
        <w:rPr>
          <w:rFonts w:ascii="Consolas" w:hAnsi="Consolas" w:eastAsia="等线"/>
        </w:rPr>
        <w:t>process_dataset!</w:t>
      </w:r>
      <w:r>
        <w:rPr>
          <w:rFonts w:ascii="Times New Roman" w:hAnsi="Times New Roman" w:eastAsia="宋体"/>
        </w:rPr>
        <w:t>，字段信息在源数据读取前完成解析。框1和版本化指南共同提供面向贡献者的配置范式。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的循环平移、线性缩放、有效范围过滤和缺失值处理。处理顺序作为复现链的一部分写入</w:t>
      </w:r>
      <w:r>
        <w:rPr>
          <w:rFonts w:ascii="Consolas" w:hAnsi="Consolas" w:eastAsia="等线"/>
        </w:rPr>
        <w:t>history</w:t>
      </w:r>
      <w:r>
        <w:rPr>
          <w:rFonts w:ascii="Times New Roman" w:hAnsi="Times New Roman" w:eastAsia="宋体"/>
        </w:rPr>
        <w:t>，完整YAML、配置SHA-256和生产代码版本与输出文件共同归档。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生成唯一文件名。重复调用可识别已有目标；内容感知机制将进一步结合配置哈希、软件版本和文件摘要管理产品重建。</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处理过程中的空间方向控制</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方向、东西方向和经度平移状态。V01/V02脚本分别提供方向正确与南北反转的非对称位置编码图，正向图与反向图均得到准确识别。人工空间判断与自动坐标、结构和逐点数值检查共同组成直观的方向质量控制体系。</w:t>
      </w:r>
    </w:p>
    <w:p>
      <w:pPr>
        <w:pStyle w:val="Heading3"/>
      </w:pPr>
      <w:r>
        <w:rPr>
          <w:rFonts w:ascii="Times New Roman" w:hAnsi="Times New Roman" w:eastAsia="宋体"/>
        </w:rPr>
        <w:t>2.3.2 标准文件检查</w:t>
      </w:r>
    </w:p>
    <w:p>
      <w:r>
        <w:rPr>
          <w:rFonts w:ascii="Times New Roman" w:hAnsi="Times New Roman" w:eastAsia="宋体"/>
        </w:rPr>
        <w:t>对于已经生成的NetCDF文件，</w:t>
      </w:r>
      <w:r>
        <w:rPr>
          <w:rFonts w:ascii="Consolas" w:hAnsi="Consolas" w:eastAsia="等线"/>
        </w:rPr>
        <w:t>verify_processed_data!</w:t>
      </w:r>
      <w:r>
        <w:rPr>
          <w:rFonts w:ascii="Times New Roman" w:hAnsi="Times New Roman" w:eastAsia="宋体"/>
        </w:rPr>
        <w:t>提供独立的结构和数值检查。该函数首先确认文件及覆盖类型，支持全球陆地和海洋（</w:t>
      </w:r>
      <w:r>
        <w:rPr>
          <w:rFonts w:ascii="Consolas" w:hAnsi="Consolas" w:eastAsia="等线"/>
        </w:rPr>
        <w:t>both</w:t>
      </w:r>
      <w:r>
        <w:rPr>
          <w:rFonts w:ascii="Times New Roman" w:hAnsi="Times New Roman" w:eastAsia="宋体"/>
        </w:rPr>
        <w:t>）与陆地（</w:t>
      </w:r>
      <w:r>
        <w:rPr>
          <w:rFonts w:ascii="Consolas" w:hAnsi="Consolas" w:eastAsia="等线"/>
        </w:rPr>
        <w:t>land</w:t>
      </w:r>
      <w:r>
        <w:rPr>
          <w:rFonts w:ascii="Times New Roman" w:hAnsi="Times New Roman" w:eastAsia="宋体"/>
        </w:rPr>
        <w:t>）两类产品。随后检查</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维度、坐标变量和主变量</w:t>
      </w:r>
      <w:r>
        <w:rPr>
          <w:rFonts w:ascii="Consolas" w:hAnsi="Consolas" w:eastAsia="等线"/>
        </w:rPr>
        <w:t>data</w:t>
      </w:r>
      <w:r>
        <w:rPr>
          <w:rFonts w:ascii="Times New Roman" w:hAnsi="Times New Roman" w:eastAsia="宋体"/>
        </w:rPr>
        <w:t>，三维产品进一步检查</w:t>
      </w:r>
      <w:r>
        <w:rPr>
          <w:rFonts w:ascii="Consolas" w:hAnsi="Consolas" w:eastAsia="等线"/>
        </w:rPr>
        <w:t>ind</w:t>
      </w:r>
      <w:r>
        <w:rPr>
          <w:rFonts w:ascii="Times New Roman" w:hAnsi="Times New Roman" w:eastAsia="宋体"/>
        </w:rPr>
        <w:t>，并验证各维长度的一致性。数值检查读取完整</w:t>
      </w:r>
      <w:r>
        <w:rPr>
          <w:rFonts w:ascii="Consolas" w:hAnsi="Consolas" w:eastAsia="等线"/>
        </w:rPr>
        <w:t>data</w:t>
      </w:r>
      <w:r>
        <w:rPr>
          <w:rFonts w:ascii="Times New Roman" w:hAnsi="Times New Roman" w:eastAsia="宋体"/>
        </w:rPr>
        <w:t>数组，计算有效值的最小值和最大值，并评价其与给定范围的符合程度。</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陆地掩膜，逐层检查陆地区域。其他空间分辨率由专用规则承接。现有函数覆盖主变量、形状、范围和陆地掩膜，后续质量模块将进一步整合坐标单调性、</w:t>
      </w:r>
      <w:r>
        <w:rPr>
          <w:rFonts w:ascii="Consolas" w:hAnsi="Consolas" w:eastAsia="等线"/>
        </w:rPr>
        <w:t>std</w:t>
      </w:r>
      <w:r>
        <w:rPr>
          <w:rFonts w:ascii="Times New Roman" w:hAnsi="Times New Roman" w:eastAsia="宋体"/>
        </w:rPr>
        <w:t>、单位、引用信息和处理日志。</w:t>
      </w:r>
    </w:p>
    <w:p>
      <w:pPr>
        <w:pStyle w:val="Heading3"/>
      </w:pPr>
      <w:r>
        <w:rPr>
          <w:rFonts w:ascii="Times New Roman" w:hAnsi="Times New Roman" w:eastAsia="宋体"/>
        </w:rPr>
        <w:t>2.3.3 标签生成与数据目录登记</w:t>
      </w:r>
    </w:p>
    <w:p>
      <w:r>
        <w:rPr>
          <w:rFonts w:ascii="Times New Roman" w:hAnsi="Times New Roman" w:eastAsia="宋体"/>
        </w:rPr>
        <w:t>数据文件名由</w:t>
      </w:r>
      <w:r>
        <w:rPr>
          <w:rFonts w:ascii="Consolas" w:hAnsi="Consolas" w:eastAsia="等线"/>
        </w:rPr>
        <w:t>griddingmachine_tag</w:t>
      </w:r>
      <w:r>
        <w:rPr>
          <w:rFonts w:ascii="Times New Roman" w:hAnsi="Times New Roman" w:eastAsia="宋体"/>
        </w:rPr>
        <w:t>生成，基本形式为</w:t>
      </w:r>
      <w:r>
        <w:rPr>
          <w:rFonts w:ascii="Consolas" w:hAnsi="Consolas" w:eastAsia="等线"/>
        </w:rPr>
        <w:t>TAG_(PREFIX_)NX_MT_(YYYY_)VV(_REVISION)</w:t>
      </w:r>
      <w:r>
        <w:rPr>
          <w:rFonts w:ascii="Times New Roman" w:hAnsi="Times New Roman" w:eastAsia="宋体"/>
        </w:rPr>
        <w:t>。其中</w:t>
      </w:r>
      <w:r>
        <w:rPr>
          <w:rFonts w:ascii="Consolas" w:hAnsi="Consolas" w:eastAsia="等线"/>
        </w:rPr>
        <w:t>NX</w:t>
      </w:r>
      <w:r>
        <w:rPr>
          <w:rFonts w:ascii="Times New Roman" w:hAnsi="Times New Roman" w:eastAsia="宋体"/>
        </w:rPr>
        <w:t>表示空间分辨率，</w:t>
      </w:r>
      <w:r>
        <w:rPr>
          <w:rFonts w:ascii="Consolas" w:hAnsi="Consolas" w:eastAsia="等线"/>
        </w:rPr>
        <w:t>MT</w:t>
      </w:r>
      <w:r>
        <w:rPr>
          <w:rFonts w:ascii="Times New Roman" w:hAnsi="Times New Roman" w:eastAsia="宋体"/>
        </w:rPr>
        <w:t>表示时间分辨率，</w:t>
      </w:r>
      <w:r>
        <w:rPr>
          <w:rFonts w:ascii="Consolas" w:hAnsi="Consolas" w:eastAsia="等线"/>
        </w:rPr>
        <w:t>YYYY</w:t>
      </w:r>
      <w:r>
        <w:rPr>
          <w:rFonts w:ascii="Times New Roman" w:hAnsi="Times New Roman" w:eastAsia="宋体"/>
        </w:rPr>
        <w:t>和</w:t>
      </w:r>
      <w:r>
        <w:rPr>
          <w:rFonts w:ascii="Consolas" w:hAnsi="Consolas" w:eastAsia="等线"/>
        </w:rPr>
        <w:t>REVISION</w:t>
      </w:r>
      <w:r>
        <w:rPr>
          <w:rFonts w:ascii="Times New Roman" w:hAnsi="Times New Roman" w:eastAsia="宋体"/>
        </w:rPr>
        <w:t>为可选部分。生成输出路径时，代码读取当前</w:t>
      </w:r>
      <w:r>
        <w:rPr>
          <w:rFonts w:ascii="Consolas" w:hAnsi="Consolas" w:eastAsia="等线"/>
        </w:rPr>
        <w:t>Artifacts.yaml</w:t>
      </w:r>
      <w:r>
        <w:rPr>
          <w:rFonts w:ascii="Times New Roman" w:hAnsi="Times New Roman" w:eastAsia="宋体"/>
        </w:rPr>
        <w:t>并识别标签状态，以保持数据产品标识的唯一性。</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P01贡献流程依据版本化指南贯通代表性数据集的配置生成、标准化、质量检查、发布、目录登记和下游读取。最终NetCDF与目录项保持一致，并形成包含固定输入路径和完整YAML示例的贡献模板。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该机制实现目录与软件版本分离，并以事务替换和备份恢复保护有效目录。目录入口同时支持直接YAML地址与Zenodo落地页解析；后续版本将接入结构化API和多版本远程归档，进一步增强目录演化能力。</w:t>
      </w:r>
    </w:p>
    <w:p>
      <w:pPr>
        <w:pStyle w:val="Heading3"/>
      </w:pPr>
      <w:r>
        <w:rPr>
          <w:rFonts w:ascii="Times New Roman" w:hAnsi="Times New Roman" w:eastAsia="宋体"/>
        </w:rPr>
        <w:t>2.4.3 多镜像排序与稳健回退</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URL提取主机名，以可获得的平均往返延迟生成候选顺序；缺少延迟分数的地址按原有顺序保留，全部URL共同组成完整回退队列。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文件。程序核对文件生成状态、字节数和SHA-256；校验通过后以原子移动进入正式路径，异常内容则随本次临时文件清理并转向下一URL。</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核验决定最终可用性。本文进一步在中科大校园网对同一文件分别执行FTP和Zenodo只读下载，以实际下载时间和内容摘要共同评价镜像获取效果。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在更新目录后遍历标签并复用相同下载逻辑。小型目录参考数据呈现初始化、更新、同步、回退和清理行为，完整历史目录沿用同一事务机制开展批量运维。</w:t>
      </w:r>
    </w:p>
    <w:p>
      <w:r>
        <w:rPr>
          <w:rFonts w:ascii="Times New Roman" w:hAnsi="Times New Roman" w:eastAsia="宋体"/>
        </w:rPr>
        <w:t>镜像状态分析覆盖候选顺序、字节数、SHA-256、缓存恢复和镜像遍历等分发环节。跨操作系统运行与校园网FTP—Zenodo实测共同呈现“事务安全—真实获取—内容一致”的分发链路。</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依据当前有效目录识别历史文件，并支持在清理前刷新目录。路径检查将操作范围限定在托管数据目录，更新、同步、查询和清理共享统一的目录状态。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输出包括位置、分辨率、年份、CO₂、土壤水力参数、冠层结构、植物功能型比例、叶片生物物理和光合参数；启用质量控制时同步检查字段完整性和</w:t>
      </w:r>
      <w:r>
        <w:rPr>
          <w:rFonts w:ascii="Consolas" w:hAnsi="Consolas" w:eastAsia="等线"/>
        </w:rPr>
        <w:t>NaN</w:t>
      </w:r>
      <w:r>
        <w:rPr>
          <w:rFonts w:ascii="Times New Roman" w:hAnsi="Times New Roman" w:eastAsia="宋体"/>
        </w:rPr>
        <w:t>状态。该接口把多个已标准化产品稳定组织为模型入口，内置经验系数、标签组合及陆面类型状态共同构成清晰的模型输入契约。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及8个气象字段的字典，启用质量控制时同步检查字段完整性和</w:t>
      </w:r>
      <w:r>
        <w:rPr>
          <w:rFonts w:ascii="Consolas" w:hAnsi="Consolas" w:eastAsia="等线"/>
        </w:rPr>
        <w:t>NaN</w:t>
      </w:r>
      <w:r>
        <w:rPr>
          <w:rFonts w:ascii="Times New Roman" w:hAnsi="Times New Roman" w:eastAsia="宋体"/>
        </w:rPr>
        <w:t>状态。接口既可直接按经纬度读取，也可从已经加载的全局气象数组提取格点序列。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标签完成模型就绪字段组织。确定性气象参考数据用于组织字段、形状和Emerald最小步进，真实</w:t>
      </w:r>
      <w:r>
        <w:rPr>
          <w:rFonts w:ascii="Consolas" w:hAnsi="Consolas" w:eastAsia="等线"/>
        </w:rPr>
        <w:t>gm2</w:t>
      </w:r>
      <w:r>
        <w:rPr>
          <w:rFonts w:ascii="Times New Roman" w:hAnsi="Times New Roman" w:eastAsia="宋体"/>
        </w:rPr>
        <w:t>文件贯通陆面参数链路。2020年ERA5序列将进一步扩展真实</w:t>
      </w:r>
      <w:r>
        <w:rPr>
          <w:rFonts w:ascii="Consolas" w:hAnsi="Consolas" w:eastAsia="等线"/>
        </w:rPr>
        <w:t>wd1</w:t>
      </w:r>
      <w:r>
        <w:rPr>
          <w:rFonts w:ascii="Times New Roman" w:hAnsi="Times New Roman" w:eastAsia="宋体"/>
        </w:rPr>
        <w:t>气象驱动应用。</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继续支持以标签调用数据，并将目录更新、完整性校验和统一读取组织为清晰的公共接口。框2展示最小使用路径：设置本地数据根目录、更新目录、校验下载、读取US-NR1附近格点，并进一步生成2020年陆面参数字典。真实陆面案例采用同一公共接口完成数据获取与模型参数组织。</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和缺失文件下载访问目录及其镜像；离线复现可将</w:t>
      </w:r>
      <w:r>
        <w:rPr>
          <w:rFonts w:ascii="Consolas" w:hAnsi="Consolas" w:eastAsia="等线"/>
        </w:rPr>
        <w:t>catalog_file</w:t>
      </w:r>
      <w:r>
        <w:rPr>
          <w:rFonts w:ascii="Times New Roman" w:hAnsi="Times New Roman" w:eastAsia="宋体"/>
        </w:rPr>
        <w:t>和数据根目录指向已经归档并完成哈希核验的本地副本。版本化用户指南集中提供完整安装、配置字段字典、目录登记和状态恢复命令，正文突出工作流结构及其应用方式。</w:t>
      </w:r>
    </w:p>
    <w:p>
      <w:pPr>
        <w:pStyle w:val="Heading1"/>
      </w:pPr>
      <w:r>
        <w:rPr>
          <w:rFonts w:ascii="Times New Roman" w:hAnsi="Times New Roman" w:eastAsia="宋体"/>
        </w:rPr>
        <w:t>3 典型应用与分析方法</w:t>
      </w:r>
    </w:p>
    <w:p>
      <w:pPr>
        <w:pStyle w:val="Heading2"/>
      </w:pPr>
      <w:r>
        <w:rPr>
          <w:rFonts w:ascii="Times New Roman" w:hAnsi="Times New Roman" w:eastAsia="宋体"/>
        </w:rPr>
        <w:t>3.1 标准数据生产与质量控制</w:t>
      </w:r>
    </w:p>
    <w:p>
      <w:pPr>
        <w:pStyle w:val="Heading3"/>
      </w:pPr>
      <w:r>
        <w:rPr>
          <w:rFonts w:ascii="Times New Roman" w:hAnsi="Times New Roman" w:eastAsia="宋体"/>
        </w:rPr>
        <w:t>3.1.1 维度、坐标与数值转换场景</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生产场景包括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pPr>
        <w:pStyle w:val="Heading3"/>
      </w:pPr>
      <w:r>
        <w:rPr>
          <w:rFonts w:ascii="Times New Roman" w:hAnsi="Times New Roman" w:eastAsia="宋体"/>
        </w:rPr>
        <w:t>3.1.2 标准产品生产场景</w:t>
      </w:r>
    </w:p>
    <w:p>
      <w:r>
        <w:rPr>
          <w:rFonts w:ascii="Times New Roman" w:hAnsi="Times New Roman" w:eastAsia="宋体"/>
        </w:rPr>
        <w:t>表3将标准产品生产分为维度（D）、坐标（C）、数值（N）、Gapfill（G）、YAML配置（Y）、输出（O）和空间方向检查（V）7组，共覆盖31个代表性场景。各组对应共享生产契约中的一个关键环节，并以结构、数值或产品状态描述处理结果。</w:t>
      </w:r>
    </w:p>
    <w:p>
      <w:pPr>
        <w:ind w:firstLine="0"/>
      </w:pPr>
      <w:r>
        <w:rPr>
          <w:rFonts w:ascii="Times New Roman" w:hAnsi="Times New Roman" w:eastAsia="宋体"/>
          <w:b/>
        </w:rPr>
        <w:t>表3 GriddingMachineDatasets标准产品生产场景</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场景数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Representative standardized-product production scenarios in GriddingMachineDatasets.</w:t>
      </w:r>
      <w:r>
        <w:rPr>
          <w:rFonts w:ascii="Times New Roman" w:hAnsi="Times New Roman" w:eastAsia="宋体"/>
        </w:rPr>
        <w:t xml:space="preserve"> The scenarios cover dimensions, coordinates, numerical transformations, gap filling, YAML configuration, product output, and spatial-orientation inspection.</w:t>
      </w:r>
    </w:p>
    <w:p>
      <w:pPr>
        <w:pStyle w:val="Heading3"/>
      </w:pPr>
      <w:r>
        <w:rPr>
          <w:rFonts w:ascii="Times New Roman" w:hAnsi="Times New Roman" w:eastAsia="宋体"/>
        </w:rPr>
        <w:t>3.1.3 产品质量控制</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标准产品生产流程在各操作系统环境中保持一致行为。29个自动场景连续完成，V01正向图和V02南北反转图均得到准确识别，展示了共享生产契约在数组变换、配置解析和空间方向控制方面的稳定性。</w:t>
      </w:r>
    </w:p>
    <w:p>
      <w:pPr>
        <w:pStyle w:val="Heading3"/>
      </w:pPr>
      <w:r>
        <w:rPr>
          <w:rFonts w:ascii="Times New Roman" w:hAnsi="Times New Roman" w:eastAsia="宋体"/>
        </w:rPr>
        <w:t>3.1.4 YAML配置与数据贡献工作流</w:t>
      </w:r>
    </w:p>
    <w:p>
      <w:r>
        <w:rPr>
          <w:rFonts w:ascii="Consolas" w:hAnsi="Consolas" w:eastAsia="等线"/>
        </w:rPr>
        <w:t>YamlBuilder</w:t>
      </w:r>
      <w:r>
        <w:rPr>
          <w:rFonts w:ascii="Times New Roman" w:hAnsi="Times New Roman" w:eastAsia="宋体"/>
        </w:rPr>
        <w:t>面向二维数据、含</w:t>
      </w:r>
      <w:r>
        <w:rPr>
          <w:rFonts w:ascii="Consolas" w:hAnsi="Consolas" w:eastAsia="等线"/>
        </w:rPr>
        <w:t>std</w:t>
      </w:r>
      <w:r>
        <w:rPr>
          <w:rFonts w:ascii="Times New Roman" w:hAnsi="Times New Roman" w:eastAsia="宋体"/>
        </w:rPr>
        <w:t>的三维数据和经纬度变换数据生成符合共享schema的配置，并将配置直接交给</w:t>
      </w:r>
      <w:r>
        <w:rPr>
          <w:rFonts w:ascii="Consolas" w:hAnsi="Consolas" w:eastAsia="等线"/>
        </w:rPr>
        <w:t>process_dataset!</w:t>
      </w:r>
      <w:r>
        <w:rPr>
          <w:rFonts w:ascii="Times New Roman" w:hAnsi="Times New Roman" w:eastAsia="宋体"/>
        </w:rPr>
        <w:t>。字段级信息、直接NetCDF输出和可配置路径共同构成面向数据贡献者的生产入口。</w:t>
      </w:r>
    </w:p>
    <w:p>
      <w:r>
        <w:rPr>
          <w:rFonts w:ascii="Times New Roman" w:hAnsi="Times New Roman" w:eastAsia="宋体"/>
        </w:rPr>
        <w:t>P01代表性贡献案例依次完成配置生成、标准化、自动与人工质量检查、产品发布、</w:t>
      </w:r>
      <w:r>
        <w:rPr>
          <w:rFonts w:ascii="Consolas" w:hAnsi="Consolas" w:eastAsia="等线"/>
        </w:rPr>
        <w:t>Artifacts.yaml</w:t>
      </w:r>
      <w:r>
        <w:rPr>
          <w:rFonts w:ascii="Times New Roman" w:hAnsi="Times New Roman" w:eastAsia="宋体"/>
        </w:rPr>
        <w:t>登记以及下游更新、下载和读取，呈现数据贡献者使用新版工作流的完整路径。</w:t>
      </w:r>
    </w:p>
    <w:p>
      <w:pPr>
        <w:pStyle w:val="Heading3"/>
      </w:pPr>
      <w:r>
        <w:rPr>
          <w:rFonts w:ascii="Times New Roman" w:hAnsi="Times New Roman" w:eastAsia="宋体"/>
        </w:rPr>
        <w:t>3.1.5 真实OISST产品生产</w:t>
      </w:r>
    </w:p>
    <w:p>
      <w:r>
        <w:rPr>
          <w:rFonts w:ascii="Times New Roman" w:hAnsi="Times New Roman" w:eastAsia="宋体"/>
        </w:rPr>
        <w:t>真实异构产品案例采用NOAA/NCEI 0.25°逐日最优插值海表温度OISST V2.1 AVHRR-only正式产品[9]，固定选取2022年2月25日文件。原始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构造物理值与缺失值掩膜，并独立计算目标经度索引。参考结果记录全场统计量、10个确定性有效格点和10个缺失格点。标准产品连续生成3次，逐点比较坐标、有效值掩膜和物理值；随后由本地权威文件生成包含</w:t>
      </w:r>
      <w:r>
        <w:rPr>
          <w:rFonts w:ascii="Consolas" w:hAnsi="Consolas" w:eastAsia="等线"/>
        </w:rPr>
        <w:t>PATH/URL/SIZE/SHA256</w:t>
      </w:r>
      <w:r>
        <w:rPr>
          <w:rFonts w:ascii="Times New Roman" w:hAnsi="Times New Roman" w:eastAsia="宋体"/>
        </w:rPr>
        <w:t>的目录条目，通过回环HTTP执行事务式下载，并以</w:t>
      </w:r>
      <w:r>
        <w:rPr>
          <w:rFonts w:ascii="Consolas" w:hAnsi="Consolas" w:eastAsia="等线"/>
        </w:rPr>
        <w:t>read_dataset</w:t>
      </w:r>
      <w:r>
        <w:rPr>
          <w:rFonts w:ascii="Times New Roman" w:hAnsi="Times New Roman" w:eastAsia="宋体"/>
        </w:rPr>
        <w:t>完成整场读取核对。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数据目录与多镜像分发分析</w:t>
      </w:r>
    </w:p>
    <w:p>
      <w:pPr>
        <w:pStyle w:val="Heading3"/>
      </w:pPr>
      <w:r>
        <w:rPr>
          <w:rFonts w:ascii="Times New Roman" w:hAnsi="Times New Roman" w:eastAsia="宋体"/>
        </w:rPr>
        <w:t>3.3.1 数据目录生命周期</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、多个NetCDF产品和两个镜像端点，并依次调用</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及目录信息接口。cache与public目录分别承担事务缓存和正式产品保存，</w:t>
      </w:r>
      <w:r>
        <w:rPr>
          <w:rFonts w:ascii="Consolas" w:hAnsi="Consolas" w:eastAsia="等线"/>
        </w:rPr>
        <w:t>read_dataset</w:t>
      </w:r>
      <w:r>
        <w:rPr>
          <w:rFonts w:ascii="Times New Roman" w:hAnsi="Times New Roman" w:eastAsia="宋体"/>
        </w:rPr>
        <w:t>的整场、周期和站点读取共同连接目录与数据使用环节。</w:t>
      </w:r>
    </w:p>
    <w:p>
      <w:r>
        <w:rPr>
          <w:rFonts w:ascii="Times New Roman" w:hAnsi="Times New Roman" w:eastAsia="宋体"/>
        </w:rPr>
        <w:t>各状态转换通过重复调用考察幂等行为，上一有效版本和事务缓存共同承接目录与下载状态。</w:t>
      </w:r>
      <w:r>
        <w:rPr>
          <w:rFonts w:ascii="Consolas" w:hAnsi="Consolas" w:eastAsia="等线"/>
        </w:rPr>
        <w:t>sync_database!</w:t>
      </w:r>
      <w:r>
        <w:rPr>
          <w:rFonts w:ascii="Times New Roman" w:hAnsi="Times New Roman" w:eastAsia="宋体"/>
        </w:rPr>
        <w:t>使用确定性小型目录参考数据呈现全库遍历逻辑。</w:t>
      </w:r>
    </w:p>
    <w:p>
      <w:pPr>
        <w:pStyle w:val="Heading3"/>
      </w:pPr>
      <w:r>
        <w:rPr>
          <w:rFonts w:ascii="Times New Roman" w:hAnsi="Times New Roman" w:eastAsia="宋体"/>
        </w:rPr>
        <w:t>3.3.2 多镜像状态与事务安全</w:t>
      </w:r>
    </w:p>
    <w:p>
      <w:r>
        <w:rPr>
          <w:rFonts w:ascii="Times New Roman" w:hAnsi="Times New Roman" w:eastAsia="宋体"/>
        </w:rPr>
        <w:t>多镜像状态分析在两个独立环境中建立内容一致且状态可配置的HTTP端点，并通过延迟分数组织候选顺序，覆盖404、超时、连接重置、延迟探测状态、镜像遍历、缓存恢复、内容类型、哈希差异和传输完整性等场景。各场景重复5次，记录候选顺序、回退次数、最终状态以及cache/public文件的字节数和SHA-256变化。事务机制使目录摘要一致的文件进入正式路径，并在各类镜像状态下保持既有正式文件稳定。校园网FTP与Zenodo访问进一步呈现真实镜像的可达性和内容一致性。</w:t>
      </w:r>
    </w:p>
    <w:p>
      <w:pPr>
        <w:pStyle w:val="Heading3"/>
      </w:pPr>
      <w:r>
        <w:rPr>
          <w:rFonts w:ascii="Times New Roman" w:hAnsi="Times New Roman" w:eastAsia="宋体"/>
        </w:rPr>
        <w:t>3.3.3 真实镜像访问</w:t>
      </w:r>
    </w:p>
    <w:p>
      <w:r>
        <w:rPr>
          <w:rFonts w:ascii="Times New Roman" w:hAnsi="Times New Roman" w:eastAsia="宋体"/>
        </w:rPr>
        <w:t>真实镜像实验选取4个同时具有FTP和Zenodo地址且已登记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与Emerald初始化。确定性参考数据用于组织字段名、形状、类型、时间索引和NaN处理；真实陆面案例采用2020年</w:t>
      </w:r>
      <w:r>
        <w:rPr>
          <w:rFonts w:ascii="Consolas" w:hAnsi="Consolas" w:eastAsia="等线"/>
        </w:rPr>
        <w:t>gm2</w:t>
      </w:r>
      <w:r>
        <w:rPr>
          <w:rFonts w:ascii="Times New Roman" w:hAnsi="Times New Roman" w:eastAsia="宋体"/>
        </w:rPr>
        <w:t>产品，在US-NR1附近植被格点和典型非植被格点展示不同陆面状态下的模型入口。2020年</w:t>
      </w:r>
      <w:r>
        <w:rPr>
          <w:rFonts w:ascii="Consolas" w:hAnsi="Consolas" w:eastAsia="等线"/>
        </w:rPr>
        <w:t>wd1</w:t>
      </w:r>
      <w:r>
        <w:rPr>
          <w:rFonts w:ascii="Times New Roman" w:hAnsi="Times New Roman" w:eastAsia="宋体"/>
        </w:rPr>
        <w:t>的8类ERA5数据将进一步拓展真实气象驱动应用。</w:t>
      </w:r>
    </w:p>
    <w:p>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跨操作系统运行与持续集成</w:t>
      </w:r>
    </w:p>
    <w:p>
      <w:r>
        <w:rPr>
          <w:rFonts w:ascii="Times New Roman" w:hAnsi="Times New Roman" w:eastAsia="宋体"/>
        </w:rPr>
        <w:t>跨操作系统运行覆盖Windows、macOS和Linux，采用本地运行与持续集成相结合的方式，贯通标准产品生产、真实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持续集成使用确定性NetCDF参考数据维护代码路径、文件状态和内容完整性，本地环境进一步覆盖真实ELEV/LAI效率、真实镜像访问和真实</w:t>
      </w:r>
      <w:r>
        <w:rPr>
          <w:rFonts w:ascii="Consolas" w:hAnsi="Consolas" w:eastAsia="等线"/>
        </w:rPr>
        <w:t>gm2</w:t>
      </w:r>
      <w:r>
        <w:rPr>
          <w:rFonts w:ascii="Times New Roman" w:hAnsi="Times New Roman" w:eastAsia="宋体"/>
        </w:rPr>
        <w:t>陆面案例，共同形成从自动维护到真实数据应用的分层运行体系。</w:t>
      </w:r>
    </w:p>
    <w:p>
      <w:pPr>
        <w:pStyle w:val="Heading1"/>
      </w:pPr>
      <w:r>
        <w:rPr>
          <w:rFonts w:ascii="Times New Roman" w:hAnsi="Times New Roman" w:eastAsia="宋体"/>
        </w:rPr>
        <w:t>4 应用结果与性能表现</w:t>
      </w:r>
    </w:p>
    <w:p>
      <w:r>
        <w:rPr>
          <w:rFonts w:ascii="Times New Roman" w:hAnsi="Times New Roman" w:eastAsia="宋体"/>
        </w:rPr>
        <w:t>新版GriddingMachine实现了从源数据配置到标准产品生成、从多镜像发布到本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功能模块</w:t>
            </w:r>
          </w:p>
        </w:tc>
        <w:tc>
          <w:tcPr>
            <w:tcW w:type="dxa" w:w="2295"/>
            <w:shd w:fill="D9EAF7"/>
          </w:tcPr>
          <w:p>
            <w:r>
              <w:rPr>
                <w:b/>
                <w:sz w:val="18"/>
              </w:rPr>
            </w:r>
            <w:r>
              <w:rPr>
                <w:rFonts w:ascii="Times New Roman" w:hAnsi="Times New Roman" w:eastAsia="宋体"/>
                <w:b/>
                <w:sz w:val="18"/>
              </w:rPr>
              <w:t>主要改进</w:t>
            </w:r>
          </w:p>
        </w:tc>
        <w:tc>
          <w:tcPr>
            <w:tcW w:type="dxa" w:w="2295"/>
            <w:shd w:fill="D9EAF7"/>
          </w:tcPr>
          <w:p>
            <w:r>
              <w:rPr>
                <w:b/>
                <w:sz w:val="18"/>
              </w:rPr>
            </w:r>
            <w:r>
              <w:rPr>
                <w:rFonts w:ascii="Times New Roman" w:hAnsi="Times New Roman" w:eastAsia="宋体"/>
                <w:b/>
                <w:sz w:val="18"/>
              </w:rPr>
              <w:t>应用表现</w:t>
            </w:r>
          </w:p>
        </w:tc>
        <w:tc>
          <w:tcPr>
            <w:tcW w:type="dxa" w:w="2295"/>
            <w:shd w:fill="D9EAF7"/>
          </w:tcPr>
          <w:p>
            <w:r>
              <w:rPr>
                <w:b/>
                <w:sz w:val="18"/>
              </w:rPr>
            </w:r>
            <w:r>
              <w:rPr>
                <w:rFonts w:ascii="Times New Roman" w:hAnsi="Times New Roman" w:eastAsia="宋体"/>
                <w:b/>
                <w:sz w:val="18"/>
              </w:rPr>
              <w:t>扩展方向</w:t>
            </w:r>
          </w:p>
        </w:tc>
      </w:tr>
      <w:tr>
        <w:tc>
          <w:tcPr>
            <w:tcW w:type="dxa" w:w="2295"/>
          </w:tcPr>
          <w:p>
            <w:r>
              <w:rPr>
                <w:sz w:val="18"/>
              </w:rPr>
            </w:r>
            <w:r>
              <w:rPr>
                <w:rFonts w:ascii="Times New Roman" w:hAnsi="Times New Roman" w:eastAsia="宋体"/>
                <w:sz w:val="18"/>
              </w:rPr>
              <w:t>标准产品生产</w:t>
            </w:r>
          </w:p>
        </w:tc>
        <w:tc>
          <w:tcPr>
            <w:tcW w:type="dxa" w:w="2295"/>
          </w:tcPr>
          <w:p>
            <w:r>
              <w:rPr>
                <w:sz w:val="18"/>
              </w:rPr>
            </w:r>
            <w:r>
              <w:rPr>
                <w:rFonts w:ascii="Times New Roman" w:hAnsi="Times New Roman" w:eastAsia="宋体"/>
                <w:sz w:val="18"/>
              </w:rPr>
              <w:t>共享YAML schema、显式维度映射和Gapfill</w:t>
            </w:r>
          </w:p>
        </w:tc>
        <w:tc>
          <w:tcPr>
            <w:tcW w:type="dxa" w:w="2295"/>
          </w:tcPr>
          <w:p>
            <w:r>
              <w:rPr>
                <w:sz w:val="18"/>
              </w:rPr>
            </w:r>
            <w:r>
              <w:rPr>
                <w:rFonts w:ascii="Times New Roman" w:hAnsi="Times New Roman" w:eastAsia="宋体"/>
                <w:sz w:val="18"/>
              </w:rPr>
              <w:t>OISST真实源数据与独立参考逐点一致；二维/三维产品稳定生成</w:t>
            </w:r>
          </w:p>
        </w:tc>
        <w:tc>
          <w:tcPr>
            <w:tcW w:type="dxa" w:w="2295"/>
          </w:tcPr>
          <w:p>
            <w:r>
              <w:rPr>
                <w:sz w:val="18"/>
              </w:rPr>
            </w:r>
            <w:r>
              <w:rPr>
                <w:rFonts w:ascii="Times New Roman" w:hAnsi="Times New Roman" w:eastAsia="宋体"/>
                <w:sz w:val="18"/>
              </w:rPr>
              <w:t>扩展多时段真实产品</w:t>
            </w:r>
          </w:p>
        </w:tc>
      </w:tr>
      <w:tr>
        <w:tc>
          <w:tcPr>
            <w:tcW w:type="dxa" w:w="2295"/>
          </w:tcPr>
          <w:p>
            <w:r>
              <w:rPr>
                <w:sz w:val="18"/>
              </w:rPr>
            </w:r>
            <w:r>
              <w:rPr>
                <w:rFonts w:ascii="Times New Roman" w:hAnsi="Times New Roman" w:eastAsia="宋体"/>
                <w:sz w:val="18"/>
              </w:rPr>
              <w:t>数据制品</w:t>
            </w:r>
          </w:p>
        </w:tc>
        <w:tc>
          <w:tcPr>
            <w:tcW w:type="dxa" w:w="2295"/>
          </w:tcPr>
          <w:p>
            <w:r>
              <w:rPr>
                <w:sz w:val="18"/>
              </w:rPr>
            </w:r>
            <w:r>
              <w:rPr>
                <w:rFonts w:ascii="Times New Roman" w:hAnsi="Times New Roman" w:eastAsia="宋体"/>
                <w:sz w:val="18"/>
              </w:rPr>
              <w:t>直接NetCDF替代外层</w:t>
            </w:r>
            <w:r>
              <w:rPr>
                <w:rFonts w:ascii="Consolas" w:hAnsi="Consolas" w:eastAsia="等线"/>
                <w:sz w:val="18"/>
              </w:rPr>
              <w:t>tar.gz</w:t>
            </w:r>
          </w:p>
        </w:tc>
        <w:tc>
          <w:tcPr>
            <w:tcW w:type="dxa" w:w="2295"/>
          </w:tcPr>
          <w:p>
            <w:r>
              <w:rPr>
                <w:sz w:val="18"/>
              </w:rPr>
            </w:r>
            <w:r>
              <w:rPr>
                <w:rFonts w:ascii="Times New Roman" w:hAnsi="Times New Roman" w:eastAsia="宋体"/>
                <w:sz w:val="18"/>
              </w:rPr>
              <w:t>暖缓存端到端中位时间降低48.3%～82.9%和53.6%～69.2%</w:t>
            </w:r>
          </w:p>
        </w:tc>
        <w:tc>
          <w:tcPr>
            <w:tcW w:type="dxa" w:w="2295"/>
          </w:tcPr>
          <w:p>
            <w:r>
              <w:rPr>
                <w:sz w:val="18"/>
              </w:rPr>
            </w:r>
            <w:r>
              <w:rPr>
                <w:rFonts w:ascii="Times New Roman" w:hAnsi="Times New Roman" w:eastAsia="宋体"/>
                <w:sz w:val="18"/>
              </w:rPr>
              <w:t>扩展更多产品规模</w:t>
            </w:r>
          </w:p>
        </w:tc>
      </w:tr>
      <w:tr>
        <w:tc>
          <w:tcPr>
            <w:tcW w:type="dxa" w:w="2295"/>
          </w:tcPr>
          <w:p>
            <w:r>
              <w:rPr>
                <w:sz w:val="18"/>
              </w:rPr>
            </w:r>
            <w:r>
              <w:rPr>
                <w:rFonts w:ascii="Times New Roman" w:hAnsi="Times New Roman" w:eastAsia="宋体"/>
                <w:sz w:val="18"/>
              </w:rPr>
              <w:t>目录与镜像</w:t>
            </w:r>
          </w:p>
        </w:tc>
        <w:tc>
          <w:tcPr>
            <w:tcW w:type="dxa" w:w="2295"/>
          </w:tcPr>
          <w:p>
            <w:r>
              <w:rPr>
                <w:sz w:val="18"/>
              </w:rPr>
            </w:r>
            <w:r>
              <w:rPr>
                <w:rFonts w:ascii="Times New Roman" w:hAnsi="Times New Roman" w:eastAsia="宋体"/>
                <w:sz w:val="18"/>
              </w:rPr>
              <w:t>独立目录、延迟辅助排序、多URL回退和事务缓存</w:t>
            </w:r>
          </w:p>
        </w:tc>
        <w:tc>
          <w:tcPr>
            <w:tcW w:type="dxa" w:w="2295"/>
          </w:tcPr>
          <w:p>
            <w:r>
              <w:rPr>
                <w:sz w:val="18"/>
              </w:rPr>
            </w:r>
            <w:r>
              <w:rPr>
                <w:rFonts w:ascii="Times New Roman" w:hAnsi="Times New Roman" w:eastAsia="宋体"/>
                <w:sz w:val="18"/>
              </w:rPr>
              <w:t>校园网FTP与Zenodo共24次下载内容一致</w:t>
            </w:r>
          </w:p>
        </w:tc>
        <w:tc>
          <w:tcPr>
            <w:tcW w:type="dxa" w:w="2295"/>
          </w:tcPr>
          <w:p>
            <w:r>
              <w:rPr>
                <w:sz w:val="18"/>
              </w:rPr>
            </w:r>
            <w:r>
              <w:rPr>
                <w:rFonts w:ascii="Times New Roman" w:hAnsi="Times New Roman" w:eastAsia="宋体"/>
                <w:sz w:val="18"/>
              </w:rPr>
              <w:t>建立长期镜像运行统计</w:t>
            </w:r>
          </w:p>
        </w:tc>
      </w:tr>
      <w:tr>
        <w:tc>
          <w:tcPr>
            <w:tcW w:type="dxa" w:w="2295"/>
          </w:tcPr>
          <w:p>
            <w:r>
              <w:rPr>
                <w:sz w:val="18"/>
              </w:rPr>
            </w:r>
            <w:r>
              <w:rPr>
                <w:rFonts w:ascii="Times New Roman" w:hAnsi="Times New Roman" w:eastAsia="宋体"/>
                <w:sz w:val="18"/>
              </w:rPr>
              <w:t>模型就绪访问</w:t>
            </w:r>
          </w:p>
        </w:tc>
        <w:tc>
          <w:tcPr>
            <w:tcW w:type="dxa" w:w="2295"/>
          </w:tcPr>
          <w:p>
            <w:r>
              <w:rPr>
                <w:sz w:val="18"/>
              </w:rPr>
            </w:r>
            <w:r>
              <w:rPr>
                <w:rFonts w:ascii="Consolas" w:hAnsi="Consolas" w:eastAsia="等线"/>
                <w:sz w:val="18"/>
              </w:rPr>
              <w:t>read_dataset</w:t>
            </w:r>
            <w:r>
              <w:rPr>
                <w:rFonts w:ascii="Times New Roman" w:hAnsi="Times New Roman" w:eastAsia="宋体"/>
                <w:sz w:val="18"/>
              </w:rPr>
              <w:t>、</w:t>
            </w:r>
            <w:r>
              <w:rPr>
                <w:rFonts w:ascii="Consolas" w:hAnsi="Consolas" w:eastAsia="等线"/>
                <w:sz w:val="18"/>
              </w:rPr>
              <w:t>grid_dict</w:t>
            </w:r>
            <w:r>
              <w:rPr>
                <w:rFonts w:ascii="Times New Roman" w:hAnsi="Times New Roman" w:eastAsia="宋体"/>
                <w:sz w:val="18"/>
              </w:rPr>
              <w:t>和</w:t>
            </w:r>
            <w:r>
              <w:rPr>
                <w:rFonts w:ascii="Consolas" w:hAnsi="Consolas" w:eastAsia="等线"/>
                <w:sz w:val="18"/>
              </w:rPr>
              <w:t>grid_weather</w:t>
            </w:r>
          </w:p>
        </w:tc>
        <w:tc>
          <w:tcPr>
            <w:tcW w:type="dxa" w:w="2295"/>
          </w:tcPr>
          <w:p>
            <w:r>
              <w:rPr>
                <w:sz w:val="18"/>
              </w:rPr>
            </w:r>
            <w:r>
              <w:rPr>
                <w:rFonts w:ascii="Times New Roman" w:hAnsi="Times New Roman" w:eastAsia="宋体"/>
                <w:sz w:val="18"/>
              </w:rPr>
              <w:t>14类</w:t>
            </w:r>
            <w:r>
              <w:rPr>
                <w:rFonts w:ascii="Consolas" w:hAnsi="Consolas" w:eastAsia="等线"/>
                <w:sz w:val="18"/>
              </w:rPr>
              <w:t>gm2</w:t>
            </w:r>
            <w:r>
              <w:rPr>
                <w:rFonts w:ascii="Times New Roman" w:hAnsi="Times New Roman" w:eastAsia="宋体"/>
                <w:sz w:val="18"/>
              </w:rPr>
              <w:t>产品生成US-NR1参数字典并进入Emerald</w:t>
            </w:r>
          </w:p>
        </w:tc>
        <w:tc>
          <w:tcPr>
            <w:tcW w:type="dxa" w:w="2295"/>
          </w:tcPr>
          <w:p>
            <w:r>
              <w:rPr>
                <w:sz w:val="18"/>
              </w:rPr>
            </w:r>
            <w:r>
              <w:rPr>
                <w:rFonts w:ascii="Times New Roman" w:hAnsi="Times New Roman" w:eastAsia="宋体"/>
                <w:sz w:val="18"/>
              </w:rPr>
              <w:t>接入ERA5气象驱动与长期模拟</w:t>
            </w:r>
          </w:p>
        </w:tc>
      </w:tr>
      <w:tr>
        <w:tc>
          <w:tcPr>
            <w:tcW w:type="dxa" w:w="2295"/>
          </w:tcPr>
          <w:p>
            <w:r>
              <w:rPr>
                <w:sz w:val="18"/>
              </w:rPr>
            </w:r>
            <w:r>
              <w:rPr>
                <w:rFonts w:ascii="Times New Roman" w:hAnsi="Times New Roman" w:eastAsia="宋体"/>
                <w:sz w:val="18"/>
              </w:rPr>
              <w:t>跨操作系统运行</w:t>
            </w:r>
          </w:p>
        </w:tc>
        <w:tc>
          <w:tcPr>
            <w:tcW w:type="dxa" w:w="2295"/>
          </w:tcPr>
          <w:p>
            <w:r>
              <w:rPr>
                <w:sz w:val="18"/>
              </w:rPr>
            </w:r>
            <w:r>
              <w:rPr>
                <w:rFonts w:ascii="Times New Roman" w:hAnsi="Times New Roman" w:eastAsia="宋体"/>
                <w:sz w:val="18"/>
              </w:rPr>
              <w:t>版本化依赖与持续集成</w:t>
            </w:r>
          </w:p>
        </w:tc>
        <w:tc>
          <w:tcPr>
            <w:tcW w:type="dxa" w:w="2295"/>
          </w:tcPr>
          <w:p>
            <w:r>
              <w:rPr>
                <w:sz w:val="18"/>
              </w:rPr>
            </w:r>
            <w:r>
              <w:rPr>
                <w:rFonts w:ascii="Times New Roman" w:hAnsi="Times New Roman" w:eastAsia="宋体"/>
                <w:sz w:val="18"/>
              </w:rPr>
              <w:t>各操作系统环境保持一致的软件路径与数据接口</w:t>
            </w:r>
          </w:p>
        </w:tc>
        <w:tc>
          <w:tcPr>
            <w:tcW w:type="dxa" w:w="2295"/>
          </w:tcPr>
          <w:p>
            <w:r>
              <w:rPr>
                <w:sz w:val="18"/>
              </w:rPr>
            </w:r>
            <w:r>
              <w:rPr>
                <w:rFonts w:ascii="Times New Roman" w:hAnsi="Times New Roman" w:eastAsia="宋体"/>
                <w:sz w:val="18"/>
              </w:rPr>
              <w:t>扩展真实案例自动化运行</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数据生产、配置契约与目录生成</w:t>
      </w:r>
    </w:p>
    <w:p>
      <w:r>
        <w:rPr>
          <w:rFonts w:ascii="Times New Roman" w:hAnsi="Times New Roman" w:eastAsia="宋体"/>
        </w:rPr>
        <w:t>共享YAML schema成功组织二维和三维数据的源维度重排、坐标变换、线性缩放、有效范围过滤与Gapfill，并将处理结果保存为统一的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结构。配置构建器、生产流水线和目录生成器使用同一字段约定，使标准产品能够从源数据处理直接进入</w:t>
      </w:r>
      <w:r>
        <w:rPr>
          <w:rFonts w:ascii="Consolas" w:hAnsi="Consolas" w:eastAsia="等线"/>
        </w:rPr>
        <w:t>Artifacts.yaml</w:t>
      </w:r>
      <w:r>
        <w:rPr>
          <w:rFonts w:ascii="Times New Roman" w:hAnsi="Times New Roman" w:eastAsia="宋体"/>
        </w:rPr>
        <w:t>登记；目录条目同步生成准确的</w:t>
      </w:r>
      <w:r>
        <w:rPr>
          <w:rFonts w:ascii="Consolas" w:hAnsi="Consolas" w:eastAsia="等线"/>
        </w:rPr>
        <w:t>SIZE</w:t>
      </w:r>
      <w:r>
        <w:rPr>
          <w:rFonts w:ascii="Times New Roman" w:hAnsi="Times New Roman" w:eastAsia="宋体"/>
        </w:rPr>
        <w:t>与SHA-256，为后续多镜像发布提供完整性信息。</w:t>
      </w:r>
    </w:p>
    <w:p>
      <w:r>
        <w:rPr>
          <w:rFonts w:ascii="Times New Roman" w:hAnsi="Times New Roman" w:eastAsia="宋体"/>
        </w:rPr>
        <w:t>OISST真实产品展示了共享生产契约对异构地学源数据的完整组织能力。原始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w:t>
      </w:r>
      <w:r>
        <w:rPr>
          <w:rFonts w:ascii="Consolas" w:hAnsi="Consolas" w:eastAsia="等线"/>
        </w:rPr>
        <w:t>SIZE</w:t>
      </w:r>
      <w:r>
        <w:rPr>
          <w:rFonts w:ascii="Times New Roman" w:hAnsi="Times New Roman" w:eastAsia="宋体"/>
        </w:rPr>
        <w:t>和SHA-256；经回环HTTP事务式下载后，正式文件摘要与目录完全一致，缓存目录中无残留</w:t>
      </w:r>
      <w:r>
        <w:rPr>
          <w:rFonts w:ascii="Consolas" w:hAnsi="Consolas" w:eastAsia="等线"/>
        </w:rPr>
        <w:t>.part</w:t>
      </w:r>
      <w:r>
        <w:rPr>
          <w:rFonts w:ascii="Times New Roman" w:hAnsi="Times New Roman" w:eastAsia="宋体"/>
        </w:rPr>
        <w:t>文件。</w:t>
      </w:r>
      <w:r>
        <w:rPr>
          <w:rFonts w:ascii="Consolas" w:hAnsi="Consolas" w:eastAsia="等线"/>
        </w:rPr>
        <w:t>read_dataset</w:t>
      </w:r>
      <w:r>
        <w:rPr>
          <w:rFonts w:ascii="Times New Roman" w:hAnsi="Times New Roman" w:eastAsia="宋体"/>
        </w:rPr>
        <w:t>读取的整场数组与独立参考保持逐点一致，形成从真实原始产品、共享YAML生产、完整性目录到统一读取的端到端数据链路。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V2.1真实产品标准化结果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r>
        <w:rPr>
          <w:rFonts w:ascii="Times New Roman" w:hAnsi="Times New Roman" w:eastAsia="宋体"/>
          <w:b/>
        </w:rPr>
        <w:t>Figure 2 Standardization results for the real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个生产场景完整覆盖维度、坐标、数值、Gapfill、配置、输出和空间方向控制。各操作系统环境获得一致的产品结构和逐点数值结果，V01正向图与V02南北反转图得到准确区分，说明自动质量控制与人工空间检查能够共同维护标准产品的坐标语义。</w:t>
      </w:r>
    </w:p>
    <w:p>
      <w:r>
        <w:rPr>
          <w:rFonts w:ascii="Times New Roman" w:hAnsi="Times New Roman" w:eastAsia="宋体"/>
        </w:rPr>
        <w:t>P01代表性贡献案例顺利完成从YAML配置到标准产品生成、目录登记和下游读取的完整流程。生成产品与参照数组逐点一致，目录中的</w:t>
      </w:r>
      <w:r>
        <w:rPr>
          <w:rFonts w:ascii="Consolas" w:hAnsi="Consolas" w:eastAsia="等线"/>
        </w:rPr>
        <w:t>SIZE</w:t>
      </w:r>
      <w:r>
        <w:rPr>
          <w:rFonts w:ascii="Times New Roman" w:hAnsi="Times New Roman" w:eastAsia="宋体"/>
        </w:rPr>
        <w:t>和SHA-256准确；完整YAML示例和固定输入路径进一步形成可直接复用的数据贡献模板。</w:t>
      </w:r>
    </w:p>
    <w:p>
      <w:r>
        <w:rPr>
          <w:rFonts w:ascii="Times New Roman" w:hAnsi="Times New Roman" w:eastAsia="宋体"/>
        </w:rPr>
        <w:t>NetcdfIO接口迁移与配置对象复用机制进一步统一了文件访问和批量生产行为。二维/三维输出、坐标变换、数值处理、Gapfill和目录生成由同一工作流连接，形成可持续扩展的标准产品生产基础。</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。该文件为1440×720、全域有效，有限值范围-415.5～5357.7002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均与输入完全一致，输出文件SHA-256也彼此相同。这表明真实标准产品经过统一读取和生产流水线后完整保持科学数组及坐标。</w:t>
      </w:r>
    </w:p>
    <w:p>
      <w:r>
        <w:rPr>
          <w:rFonts w:ascii="Times New Roman" w:hAnsi="Times New Roman" w:eastAsia="宋体"/>
        </w:rPr>
        <w:t>ELEV标准文件顺利贯通完整性目录、统一读取和处理流水线。实测数组全域具有有效值，重复生产中的坐标、数据和输出摘要保持一致，展示了新版流程对既有标准数据产品的稳定承接能力。</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 level 4压缩，对照归档采用gzip level 6。回环HTTP测试条件下，各“数据×形式”组合经过预热并按随机顺序重复测量，全部解包后内容均通过SHA-256校验。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暖缓存端到端中位时间在两个环境中分别降低48.3%～82.9%和53.6%～69.2%；两样本传输字节增加6.43%和2.16%。共80次内容摘要核验全部通过。结果表明，对于已经采用NetCDF内部压缩的数据产品，直接分发能够显著减少额外解包时间和逻辑临时占用。置信区间、绝对时间及完整图件保存在实验材料中。</w:t>
      </w:r>
    </w:p>
    <w:p>
      <w:pPr>
        <w:pStyle w:val="Heading2"/>
      </w:pPr>
      <w:r>
        <w:rPr>
          <w:rFonts w:ascii="Times New Roman" w:hAnsi="Times New Roman" w:eastAsia="宋体"/>
        </w:rPr>
        <w:t>4.3 Collector与可信多镜像分发</w:t>
      </w:r>
    </w:p>
    <w:p>
      <w:r>
        <w:rPr>
          <w:rFonts w:ascii="Times New Roman" w:hAnsi="Times New Roman" w:eastAsia="宋体"/>
        </w:rPr>
        <w:t>Collector将目录初始化、事务更新、产品同步、镜像获取、状态查询和历史数据整理组织为统一的数据维护接口。独立目录使数据产品能够随镜像和版本持续更新，cache与public分层保存机制则将传输过程与正式数据分离，使上一有效目录和已发布产品在目录更新与镜像切换过程中保持稳定。</w:t>
      </w:r>
    </w:p>
    <w:p>
      <w:r>
        <w:rPr>
          <w:rFonts w:ascii="Times New Roman" w:hAnsi="Times New Roman" w:eastAsia="宋体"/>
        </w:rPr>
        <w:t>M01～M13镜像状态场景表明，Collector能够优先选择延迟较低的候选，同时完整保留全部URL并依次回退。每次获取采用独立</w:t>
      </w:r>
      <w:r>
        <w:rPr>
          <w:rFonts w:ascii="Consolas" w:hAnsi="Consolas" w:eastAsia="等线"/>
        </w:rPr>
        <w:t>.part</w:t>
      </w:r>
      <w:r>
        <w:rPr>
          <w:rFonts w:ascii="Times New Roman" w:hAnsi="Times New Roman" w:eastAsia="宋体"/>
        </w:rPr>
        <w:t>文件，内容经字节数和SHA-256确认后进入正式路径；130次状态记录中的临时文件均被完整回收，既有正式文件摘要保持一致。</w:t>
      </w:r>
    </w:p>
    <w:p>
      <w:r>
        <w:rPr>
          <w:rFonts w:ascii="Times New Roman" w:hAnsi="Times New Roman" w:eastAsia="宋体"/>
        </w:rPr>
        <w:t>同一下载接口在各操作系统环境中均实现延迟辅助排序、全候选保留和顺序回退，为不同网络条件提供一致的数据获取方式。</w:t>
      </w:r>
    </w:p>
    <w:p>
      <w:r>
        <w:rPr>
          <w:rFonts w:ascii="Times New Roman" w:hAnsi="Times New Roman" w:eastAsia="宋体"/>
        </w:rPr>
        <w:t>公共网络环境下，4个标签经Zenodo完成24次真实下载，全部达到登记字节数并通过SHA-256核验。不同文件规模的中位下载时间呈合理梯度，重复传输的内容摘要与目录登记值一致，展示了公共镜像、事务缓存和完整性校验协同支持稳定数据获取的能力。</w:t>
      </w:r>
    </w:p>
    <w:p>
      <w:r>
        <w:rPr>
          <w:rFonts w:ascii="Times New Roman" w:hAnsi="Times New Roman" w:eastAsia="宋体"/>
        </w:rPr>
        <w:t>中科大校园网环境下，FTP与Zenodo各完成12次同文件下载，24次结果全部达到登记字节数并通过SHA-256核验。4个文件的FTP中位下载时间为0.071～0.356 s，Zenodo为1.091～14.092 s；FTP往返延迟为1.0～13.5 ms，延迟辅助排序与实际传输表现一致。该结果展示了机构镜像与公共镜像的内容一致性，以及多镜像目录对不同访问环境的适应能力。</w:t>
      </w:r>
    </w:p>
    <w:p>
      <w:r>
        <w:rPr>
          <w:rFonts w:ascii="Times New Roman" w:hAnsi="Times New Roman" w:eastAsia="宋体"/>
        </w:rPr>
        <w:t>镜像状态场景呈现事务式文件转换，真实镜像访问展示FTP与Zenodo的可达性、候选顺序和下载表现。公共网络体现Zenodo镜像和全候选保留机制，校园网体现机构FTP与公共Zenodo的互补分发能力。延迟辅助排序、全URL回退和</w:t>
      </w:r>
      <w:r>
        <w:rPr>
          <w:rFonts w:ascii="Consolas" w:hAnsi="Consolas" w:eastAsia="等线"/>
        </w:rPr>
        <w:t>SIZE/SHA256</w:t>
      </w:r>
      <w:r>
        <w:rPr>
          <w:rFonts w:ascii="Times New Roman" w:hAnsi="Times New Roman" w:eastAsia="宋体"/>
        </w:rPr>
        <w:t>核验共同支持不同网络条件下的稳定数据获取。</w:t>
      </w:r>
    </w:p>
    <w:p>
      <w:pPr>
        <w:pStyle w:val="Heading2"/>
      </w:pPr>
      <w:r>
        <w:rPr>
          <w:rFonts w:ascii="Times New Roman" w:hAnsi="Times New Roman" w:eastAsia="宋体"/>
        </w:rPr>
        <w:t>4.4 统一读取与模型就绪应用</w:t>
      </w:r>
    </w:p>
    <w:p>
      <w:r>
        <w:rPr>
          <w:rFonts w:ascii="Consolas" w:hAnsi="Consolas" w:eastAsia="等线"/>
        </w:rPr>
        <w:t>read_dataset</w:t>
      </w:r>
      <w:r>
        <w:rPr>
          <w:rFonts w:ascii="Times New Roman" w:hAnsi="Times New Roman" w:eastAsia="宋体"/>
        </w:rPr>
        <w:t>统一支持整场、周期和站点读取以及经纬度索引，</w:t>
      </w:r>
      <w:r>
        <w:rPr>
          <w:rFonts w:ascii="Consolas" w:hAnsi="Consolas" w:eastAsia="等线"/>
        </w:rPr>
        <w:t>read_LUT</w:t>
      </w:r>
      <w:r>
        <w:rPr>
          <w:rFonts w:ascii="Times New Roman" w:hAnsi="Times New Roman" w:eastAsia="宋体"/>
        </w:rPr>
        <w:t>作为兼容别名延续原有调用方式。</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进一步将标准产品组织为Emerald可直接使用的参数与气象字典，并支持植被、裸土和时间序列等模型输入场景。</w:t>
      </w:r>
    </w:p>
    <w:p>
      <w:r>
        <w:rPr>
          <w:rFonts w:ascii="Times New Roman" w:hAnsi="Times New Roman" w:eastAsia="宋体"/>
        </w:rPr>
        <w:t>GriddingMachine输出顺利进入Emerald参数组织、气象组织、模型初始化和60 s单步计算，建立了从标准数据读取到模型首个时间步的直接连接。</w:t>
      </w:r>
    </w:p>
    <w:p>
      <w:r>
        <w:rPr>
          <w:rFonts w:ascii="Times New Roman" w:hAnsi="Times New Roman" w:eastAsia="宋体"/>
        </w:rPr>
        <w:t>真实陆面案例使用2020年</w:t>
      </w:r>
      <w:r>
        <w:rPr>
          <w:rFonts w:ascii="Consolas" w:hAnsi="Consolas" w:eastAsia="等线"/>
        </w:rPr>
        <w:t>gm2</w:t>
      </w:r>
      <w:r>
        <w:rPr>
          <w:rFonts w:ascii="Times New Roman" w:hAnsi="Times New Roman" w:eastAsia="宋体"/>
        </w:rPr>
        <w:t>的14类标准产品，全部通过文件大小、来源摘要和本地SHA-256核验。US-NR1站点被映射至相应规则格点，</w:t>
      </w:r>
      <w:r>
        <w:rPr>
          <w:rFonts w:ascii="Consolas" w:hAnsi="Consolas" w:eastAsia="等线"/>
        </w:rPr>
        <w:t>grid_dict</w:t>
      </w:r>
      <w:r>
        <w:rPr>
          <w:rFonts w:ascii="Times New Roman" w:hAnsi="Times New Roman" w:eastAsia="宋体"/>
        </w:rPr>
        <w:t>成功组织34个模型字段、366日季节序列、4个土壤层和17个植物功能型，高程、陆地掩膜与叶面积指数均得到正确读取。撒哈拉案例准确返回非植被格点状态，表明接口能够根据陆面特征组织相应模型入口。</w:t>
      </w:r>
    </w:p>
    <w:p>
      <w:r>
        <w:rPr>
          <w:rFonts w:ascii="Times New Roman" w:hAnsi="Times New Roman" w:eastAsia="宋体"/>
        </w:rPr>
        <w:t>真实</w:t>
      </w:r>
      <w:r>
        <w:rPr>
          <w:rFonts w:ascii="Consolas" w:hAnsi="Consolas" w:eastAsia="等线"/>
        </w:rPr>
        <w:t>gm2</w:t>
      </w:r>
      <w:r>
        <w:rPr>
          <w:rFonts w:ascii="Times New Roman" w:hAnsi="Times New Roman" w:eastAsia="宋体"/>
        </w:rPr>
        <w:t>文件顺利贯通完整性目录、统一读取和陆面参数组织接口，并覆盖植被与非植被入口。依赖统一和接口迁移使各操作系统环境能够从同一项目声明解析一致的软件组合。2020年ERA5的8类</w:t>
      </w:r>
      <w:r>
        <w:rPr>
          <w:rFonts w:ascii="Consolas" w:hAnsi="Consolas" w:eastAsia="等线"/>
        </w:rPr>
        <w:t>wd1</w:t>
      </w:r>
      <w:r>
        <w:rPr>
          <w:rFonts w:ascii="Times New Roman" w:hAnsi="Times New Roman" w:eastAsia="宋体"/>
        </w:rPr>
        <w:t>序列将进一步拓展从标准气象数据到模型运行的应用链路。</w:t>
      </w:r>
    </w:p>
    <w:p>
      <w:pPr>
        <w:pStyle w:val="Heading2"/>
      </w:pPr>
      <w:r>
        <w:rPr>
          <w:rFonts w:ascii="Times New Roman" w:hAnsi="Times New Roman" w:eastAsia="宋体"/>
        </w:rPr>
        <w:t>4.5 跨操作系统运行表现</w:t>
      </w:r>
    </w:p>
    <w:p>
      <w:r>
        <w:rPr>
          <w:rFonts w:ascii="Times New Roman" w:hAnsi="Times New Roman" w:eastAsia="宋体"/>
        </w:rPr>
        <w:t>各操作系统环境均可运行标准产品生产、直接NetCDF分发、多镜像获取和Emerald模型接口，并获得一致的数据结构、内容摘要和模型字段，表明共享数据契约、事务式下载和模型就绪接口具有稳定的系统适应性。</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在跨操作系统持续集成中保持自动运行。统一的项目依赖、参考数据和模型接口形成可持续维护机制，使软件更新能够持续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真实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并由OISST真实产品展示异构维度、打包数值和经度体系的统一转换；分发端以独立目录、直接NetCDF与事务缓存连接机构镜像和公共镜像；应用端以统一读取、Emerald最小步进和真实</w:t>
      </w:r>
      <w:r>
        <w:rPr>
          <w:rFonts w:ascii="Consolas" w:hAnsi="Consolas" w:eastAsia="等线"/>
        </w:rPr>
        <w:t>gm2</w:t>
      </w:r>
      <w:r>
        <w:rPr>
          <w:rFonts w:ascii="Times New Roman" w:hAnsi="Times New Roman" w:eastAsia="宋体"/>
        </w:rPr>
        <w:t>陆面链路连接数据产品与模型。真实海温与陆面产品共同呈现框架在全球规则网格数据生命周期中的适用性。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[10]；Pangeo倡导分析就绪、云优化数据以及计算与数据邻近的云原生模式[11]，Pangeo Forge进一步以可复用配方和目录组织分析就绪数据生产[12]。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[12]，本文流程侧重可直接下载的单体NetCDF、离线缓存、完整性落盘和固定模型接口。云优化分块格式适配超大规模近数据计算[11]，ESGF适配CMIP等机构联合治理[10]，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[13]；Pooch以文件名、URL和SHA-256注册表实现远端文件获取、本地缓存和完整性校验[14]；STAC为广泛地理空间资产提供通用元数据结构与查询标准[15]。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外置目录提高数据的可发现性，多URL和直接NetCDF增强获取能力，统一网格与变量约定促进互操作，来源、许可、处理记录和版本信息支撑复用[1]。FAIR4RS强调科研软件的可执行性、复合依赖、持续演化和版本管理[16]；TRUST原则进一步提出透明度、责任、用户关注、可持续性和技术能力[17]。GriddingMachine以权威文件生成</w:t>
      </w:r>
      <w:r>
        <w:rPr>
          <w:rFonts w:ascii="Consolas" w:hAnsi="Consolas" w:eastAsia="等线"/>
        </w:rPr>
        <w:t>SIZE/SHA256</w:t>
      </w:r>
      <w:r>
        <w:rPr>
          <w:rFonts w:ascii="Times New Roman" w:hAnsi="Times New Roman" w:eastAsia="宋体"/>
        </w:rPr>
        <w:t>、下载后校验、目录事务替换和版本化依赖落实技术可复现性。正式release将继续整合镜像登记、来源许可、配置哈希、代码版本和永久归档，形成完整的软件—目录—数据溯源链。</w:t>
      </w:r>
    </w:p>
    <w:p>
      <w:r>
        <w:rPr>
          <w:rFonts w:ascii="Times New Roman" w:hAnsi="Times New Roman" w:eastAsia="宋体"/>
        </w:rPr>
        <w:t>正式release将配置哈希、代码版本、文件大小和SHA-256连接为溯源链，并将实验结果关联到可识别的软件与数据版本[8]。ELEV标准文件已经完成完整性核验、统一读取和重复无损处理，后续元数据迁移将进一步统一来源、单位和修订标签。</w:t>
      </w:r>
    </w:p>
    <w:p>
      <w:pPr>
        <w:pStyle w:val="Heading2"/>
      </w:pPr>
      <w:r>
        <w:rPr>
          <w:rFonts w:ascii="Times New Roman" w:hAnsi="Times New Roman" w:eastAsia="宋体"/>
        </w:rPr>
        <w:t>5.4 后续拓展</w:t>
      </w:r>
    </w:p>
    <w:p>
      <w:r>
        <w:rPr>
          <w:rFonts w:ascii="Times New Roman" w:hAnsi="Times New Roman" w:eastAsia="宋体"/>
        </w:rPr>
        <w:t>下一阶段将沿四条路线扩展。第一，迁移历史YAML，并为非规则网格、区域投影和复杂时间坐标增加数据源专用预处理模块。第二，将方向图复核与坐标单调性、值域和逐点数组断言进一步集成，形成统一质量报告。第三，扩大FTP与Zenodo的文件规模、观测时段和网络环境，建立延迟辅助排序与实际下载表现的长期统计。第四，以OISST单日案例为基础扩展多时段真实产品，并将2020年ERA5气象序列、长期模型运行和永久软件归档纳入后续版本，持续拓展科学应用与复现深度。</w:t>
      </w:r>
    </w:p>
    <w:p>
      <w:r>
        <w:rPr>
          <w:rFonts w:ascii="Times New Roman" w:hAnsi="Times New Roman" w:eastAsia="宋体"/>
        </w:rPr>
        <w:t>P01流程反馈已转化为固定输入路径和完整YAML示例；</w:t>
      </w:r>
      <w:r>
        <w:rPr>
          <w:rFonts w:ascii="Consolas" w:hAnsi="Consolas" w:eastAsia="等线"/>
        </w:rPr>
        <w:t>read_dataset</w:t>
      </w:r>
      <w:r>
        <w:rPr>
          <w:rFonts w:ascii="Times New Roman" w:hAnsi="Times New Roman" w:eastAsia="宋体"/>
        </w:rPr>
        <w:t>的规则网格索引、植被与非植被入口以及</w:t>
      </w:r>
      <w:r>
        <w:rPr>
          <w:rFonts w:ascii="Consolas" w:hAnsi="Consolas" w:eastAsia="等线"/>
        </w:rPr>
        <w:t>grid_dict/grid_weather</w:t>
      </w:r>
      <w:r>
        <w:rPr>
          <w:rFonts w:ascii="Times New Roman" w:hAnsi="Times New Roman" w:eastAsia="宋体"/>
        </w:rPr>
        <w:t>字段组织均形成自动回归。真实</w:t>
      </w:r>
      <w:r>
        <w:rPr>
          <w:rFonts w:ascii="Consolas" w:hAnsi="Consolas" w:eastAsia="等线"/>
        </w:rPr>
        <w:t>gm2</w:t>
      </w:r>
      <w:r>
        <w:rPr>
          <w:rFonts w:ascii="Times New Roman" w:hAnsi="Times New Roman" w:eastAsia="宋体"/>
        </w:rPr>
        <w:t>陆面链路和Emerald最小步进为进一步开展逐字段科学核对、真实气象驱动、长期模拟和多模型适配提供了稳定接口基础。</w:t>
      </w:r>
    </w:p>
    <w:p>
      <w:pPr>
        <w:pStyle w:val="Heading1"/>
      </w:pPr>
      <w:r>
        <w:rPr>
          <w:rFonts w:ascii="Times New Roman" w:hAnsi="Times New Roman" w:eastAsia="宋体"/>
        </w:rPr>
        <w:t>6 结论</w:t>
      </w:r>
    </w:p>
    <w:p>
      <w:r>
        <w:rPr>
          <w:rFonts w:ascii="Times New Roman" w:hAnsi="Times New Roman" w:eastAsia="宋体"/>
        </w:rPr>
        <w:t>本文在2022版GriddingMachine基础上形成了由共享YAML schema、显式源维度映射、Gapfill、独立目录、直接NetCDF、事务式缓存及统一读取接口组成的可执行数据生命周期。OISST V2.1真实产品从四维打包源数据生成1440×720标准海表温度产品，坐标、有效值掩膜和691 150个物理值与独立参考逐点一致；校园网内4个代表性产品通过FTP与Zenodo实现内容一致的双镜像获取，14类真实陆面产品成功生成US-NR1参数字典。</w:t>
      </w:r>
    </w:p>
    <w:p>
      <w:r>
        <w:rPr>
          <w:rFonts w:ascii="Times New Roman" w:hAnsi="Times New Roman" w:eastAsia="宋体"/>
        </w:rPr>
        <w:t>GriddingMachine由此形成面向地球系统模型的轻量数据生产与可信分发基础设施。真实海温生产、陆面参数组织与双镜像分发共同体现框架对全球规则网格数据的贯通能力；多时段产品、ERA5气象驱动、镜像登记、不可变release和永久归档将持续拓展其科学应用与长期复用价值。</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实验协议、脚本和结果公开于https://github.com/jhOo1/GriddingMachine_Reaserach。各仓库提供版本化依赖与持续集成配置，投稿版本将通过正式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实验脚本、汇总测试结果并辅助图件制作。研究目标、实验设计、验收标准和结论由作者确定；作者核验软件版本、实验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[11] ABERNATHEY R P, AUGSPURGER T, BANIHIRWE A, et al. Cloud-native repositories for big scientific data[J]. Computing in Science &amp; Engineering, 2021, 23(2): 26-35. DOI: 10.1109/MCSE.2021.3059437.</w:t>
      </w:r>
    </w:p>
    <w:p>
      <w:r>
        <w:rPr>
          <w:rFonts w:ascii="Times New Roman" w:hAnsi="Times New Roman" w:eastAsia="宋体"/>
        </w:rPr>
        <w:t>[12] STERN C, ABERNATHEY R, HAMMAN J, et al. Pangeo Forge: Crowdsourcing analysis-ready, cloud optimized data production[J]. Frontiers in Climate, 2022, 3: 782909. DOI: 10.3389/fclim.2021.782909.</w:t>
      </w:r>
    </w:p>
    <w:p>
      <w:r>
        <w:rPr>
          <w:rFonts w:ascii="Times New Roman" w:hAnsi="Times New Roman" w:eastAsia="宋体"/>
        </w:rPr>
        <w:t>[13]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[14] UIEDA L, SOLER S R, RAMPIN R, et al. Pooch: A friend to fetch your data files[J]. Journal of Open Source Software, 2020, 5(45): 1943. DOI: 10.21105/joss.01943.</w:t>
      </w:r>
    </w:p>
    <w:p>
      <w:r>
        <w:rPr>
          <w:rFonts w:ascii="Times New Roman" w:hAnsi="Times New Roman" w:eastAsia="宋体"/>
        </w:rPr>
        <w:t>[15] OPEN GEOSPATIAL CONSORTIUM. SpatioTemporal Asset Catalog (STAC) Community Standard, Version 1.1.0[S/OL]. OGC 25-004, 2025[2026-08-15]. https://www.ogc.org/standards/stac/.</w:t>
      </w:r>
    </w:p>
    <w:p>
      <w:r>
        <w:rPr>
          <w:rFonts w:ascii="Times New Roman" w:hAnsi="Times New Roman" w:eastAsia="宋体"/>
        </w:rPr>
        <w:t>[16] BARKER M, CHUE HONG N P, KATZ D S, et al. Introducing the FAIR Principles for research software[J]. Scientific Data, 2022, 9: 622. DOI: 10.1038/s41597-022-01710-x.</w:t>
      </w:r>
    </w:p>
    <w:p>
      <w:r>
        <w:rPr>
          <w:rFonts w:ascii="Times New Roman" w:hAnsi="Times New Roman" w:eastAsia="宋体"/>
        </w:rPr>
        <w:t>[17]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