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dataset tags, mirrors, and integrity metadata; and unified interfaces organize land parameters and meteorological forcing. In addition to Julia, we have adapted automatic downloading of the updated data for MATLAB, Octave, Python, and R, and added automatic data retrieval entry points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原则[1]。NetCDF具有自描述、跨系统和适合多维数组等特点，CF元数据约定进一步通过坐标、物理量、单位和时空属性促进不同数据源之间的解释与处理[2]。Google Earth Engine等云平台通过改善数据表达、发现、访问及计算，显著提升了大尺度遥感数据的访问和分析能力[3]。然而，对于面向固定版本、离线缓存和模式直接调用的工作流，研究人员仍需要把数据转换规则、标准产品标识、网络获取内容和下游模式接口连接起来，因此一个适用于本地运行的标准化数据库是非常必要的。</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Wang等[4]于2022年发布了基于Julia语言的GriddingMachine数据库和软件，旨在将常用于陆面和地球系统模拟的全球数据处理为具有统一空间和变量约定的NetCDF文件，并通过标签、Artifacts.toml文件和Julia artifact机制实现数据管理与自动下载，同时提供Julia、MATLAB、Octave、Python和R接口。2022版已经建立了统一网格约定、数据标签和多语言访问基础，但其数据处理主要依赖数据集专用脚本，标准化数据以带有标签文件的</w:t>
      </w:r>
      <w:r>
        <w:rPr>
          <w:rFonts w:ascii="Consolas" w:hAnsi="Consolas" w:eastAsia="Songti SC"/>
        </w:rPr>
        <w:t>tar.gz</w:t>
      </w:r>
      <w:r>
        <w:rPr>
          <w:rFonts w:ascii="Times New Roman" w:hAnsi="Times New Roman" w:eastAsia="Songti SC"/>
        </w:rPr>
        <w:t>归档分发，数据目录也随软件包维护。随着数据类型、分发位置和模式应用链条扩展，源数据处理规则、数据目录、网络获取和模式输入之间需要进一步统一。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配置规范表达源维度、坐标、数值变换、Gapfill 和质量控制；数据目录与获取层以逻辑标签连接数据副本，并对登记了文件字节数和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应用价值</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读取</w:t>
            </w:r>
          </w:p>
        </w:tc>
        <w:tc>
          <w:tcPr>
            <w:tcW w:type="dxa" w:w="2211"/>
          </w:tcPr>
          <w:p>
            <w:r>
              <w:rPr>
                <w:sz w:val="18"/>
              </w:rPr>
            </w:r>
            <w:r>
              <w:rPr>
                <w:rFonts w:ascii="Consolas" w:hAnsi="Consolas" w:eastAsia="Songti SC"/>
                <w:sz w:val="18"/>
              </w:rPr>
              <w:t>read_LUT</w:t>
            </w:r>
          </w:p>
        </w:tc>
        <w:tc>
          <w:tcPr>
            <w:tcW w:type="dxa" w:w="2211"/>
          </w:tcPr>
          <w:p>
            <w:r>
              <w:rPr>
                <w:sz w:val="18"/>
              </w:rPr>
            </w:r>
            <w:r>
              <w:rPr>
                <w:rFonts w:ascii="Consolas" w:hAnsi="Consolas" w:eastAsia="Songti SC"/>
                <w:sz w:val="18"/>
              </w:rPr>
              <w:t>read_dataset</w:t>
            </w:r>
            <w:r>
              <w:rPr>
                <w:rFonts w:ascii="Times New Roman" w:hAnsi="Times New Roman" w:eastAsia="Songti SC"/>
                <w:sz w:val="18"/>
              </w:rPr>
              <w:t>，旧名称保留为别名</w:t>
            </w:r>
          </w:p>
        </w:tc>
        <w:tc>
          <w:tcPr>
            <w:tcW w:type="dxa" w:w="2211"/>
          </w:tcPr>
          <w:p>
            <w:r>
              <w:rPr>
                <w:sz w:val="18"/>
              </w:rPr>
            </w:r>
            <w:r>
              <w:rPr>
                <w:rFonts w:ascii="Times New Roman" w:hAnsi="Times New Roman" w:eastAsia="Songti SC"/>
                <w:sz w:val="18"/>
              </w:rPr>
              <w:t>全球规则经纬网整场、周期和站点读取</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缺失值填补（gap filling，以下简称Gapfill）由YAML中的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CF约定利用坐标变量和属性表达维度语义[2]。GriddingMachine进一步固定输出维度顺序，以降低下游接口复杂度。新版通过YAML的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第3—4节的事务式目录管理、镜像获取和模式输入实验采用Julia主流程；非Julia接口的源码和调用说明随代码仓库的clients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product.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products using direct NetCDF and external `tar.gz` archives.</w:t>
      </w:r>
      <w:r>
        <w:rPr>
          <w:rFonts w:ascii="Times New Roman" w:hAnsi="Times New Roman" w:eastAsia="Songti SC"/>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