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AFEF38">
      <w:pPr>
        <w:pStyle w:val="31"/>
        <w:jc w:val="center"/>
      </w:pPr>
      <w:r>
        <w:rPr>
          <w:rFonts w:ascii="Times New Roman" w:hAnsi="Times New Roman" w:eastAsia="Songti SC"/>
        </w:rPr>
        <w:t>面向地球系统模式的全球网格数据库：GriddingMachine框架更新与应用</w:t>
      </w:r>
    </w:p>
    <w:p w14:paraId="3E96CE49">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14:paraId="549BC82F">
      <w:r>
        <w:rPr>
          <w:rFonts w:ascii="Times New Roman" w:hAnsi="Times New Roman" w:eastAsia="Songti SC"/>
        </w:rPr>
        <w:t>1. 中国科学技术大学地球和空间科学学院，安徽 合肥 230026</w:t>
      </w:r>
    </w:p>
    <w:p w14:paraId="6D558632">
      <w:r>
        <w:rPr>
          <w:rFonts w:ascii="Times New Roman" w:hAnsi="Times New Roman" w:eastAsia="Songti SC"/>
        </w:rPr>
        <w:t>姜皓，E-mail：hao.jiang@mail.ustc.edu.cn；ORCID：https://orcid.org/0009-0009-8295-8661</w:t>
      </w:r>
    </w:p>
    <w:p w14:paraId="41E2B8AE">
      <w:r>
        <w:rPr>
          <w:rFonts w:ascii="Times New Roman" w:hAnsi="Times New Roman" w:eastAsia="Songti SC"/>
        </w:rPr>
        <w:t>\* 通讯作者：王玉杰，wyujie@ustc.edu.cn</w:t>
      </w:r>
    </w:p>
    <w:p w14:paraId="5F903DE3">
      <w:pPr>
        <w:pStyle w:val="3"/>
      </w:pPr>
      <w:r>
        <w:rPr>
          <w:rFonts w:ascii="Times New Roman" w:hAnsi="Times New Roman" w:eastAsia="Songti SC"/>
        </w:rPr>
        <w:t>摘要</w:t>
      </w:r>
    </w:p>
    <w:p w14:paraId="257B6498">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w:t>
      </w:r>
      <w:r>
        <w:rPr>
          <w:rFonts w:hint="eastAsia" w:eastAsia="宋体"/>
          <w:lang w:eastAsia="zh-CN"/>
        </w:rPr>
        <w:t>做出</w:t>
      </w:r>
      <w:bookmarkStart w:id="0" w:name="_GoBack"/>
      <w:bookmarkEnd w:id="0"/>
      <w:r>
        <w:rPr>
          <w:rFonts w:ascii="Times New Roman" w:hAnsi="Times New Roman" w:eastAsia="Songti SC"/>
        </w:rPr>
        <w:t>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14:paraId="1AEB2723">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14:paraId="12A7149E">
      <w:r>
        <w:rPr>
          <w:rFonts w:ascii="Times New Roman" w:hAnsi="Times New Roman" w:eastAsia="Songti SC"/>
          <w:b/>
        </w:rPr>
        <w:t>A Global Gridded Database for Earth System Models: Advances and Applications of GriddingMachine</w:t>
      </w:r>
    </w:p>
    <w:p w14:paraId="475C41AB">
      <w:r>
        <w:rPr>
          <w:rFonts w:ascii="Times New Roman" w:hAnsi="Times New Roman" w:eastAsia="Songti SC"/>
          <w:b/>
        </w:rPr>
        <w:t>Hao JIANG^1, Yujie WANG^1\</w:t>
      </w:r>
      <w:r>
        <w:rPr>
          <w:rFonts w:ascii="Times New Roman" w:hAnsi="Times New Roman" w:eastAsia="Songti SC"/>
        </w:rPr>
        <w:t>*</w:t>
      </w:r>
    </w:p>
    <w:p w14:paraId="36A990D5">
      <w:r>
        <w:rPr>
          <w:rFonts w:ascii="Times New Roman" w:hAnsi="Times New Roman" w:eastAsia="Songti SC"/>
        </w:rPr>
        <w:t>1. School of Earth and Space Sciences, University of Science and Technology of China, Hefei 230026, China</w:t>
      </w:r>
    </w:p>
    <w:p w14:paraId="12B9EE80">
      <w:r>
        <w:rPr>
          <w:rFonts w:ascii="Times New Roman" w:hAnsi="Times New Roman" w:eastAsia="Songti SC"/>
        </w:rPr>
        <w:t>Hao Jiang, E-mail: hao.jiang@mail.ustc.edu.cn; ORCID: https://orcid.org/0009-0009-8295-8661</w:t>
      </w:r>
    </w:p>
    <w:p w14:paraId="2D3E008D">
      <w:r>
        <w:rPr>
          <w:rFonts w:ascii="Times New Roman" w:hAnsi="Times New Roman" w:eastAsia="Songti SC"/>
        </w:rPr>
        <w:t>\* Corresponding author: Yujie Wang, wyujie@ustc.edu.cn</w:t>
      </w:r>
    </w:p>
    <w:p w14:paraId="3B0D2E3A">
      <w:pPr>
        <w:pStyle w:val="3"/>
      </w:pPr>
      <w:r>
        <w:rPr>
          <w:rFonts w:ascii="Times New Roman" w:hAnsi="Times New Roman" w:eastAsia="Songti SC"/>
        </w:rPr>
        <w:t>Abstract</w:t>
      </w:r>
    </w:p>
    <w:p w14:paraId="1A440590">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14:paraId="377B9D57">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14:paraId="762B3A21">
      <w:pPr>
        <w:pStyle w:val="3"/>
      </w:pPr>
      <w:r>
        <w:rPr>
          <w:rFonts w:ascii="Times New Roman" w:hAnsi="Times New Roman" w:eastAsia="Songti SC"/>
        </w:rPr>
        <w:t>1 引言</w:t>
      </w:r>
    </w:p>
    <w:p w14:paraId="67E18AFC">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14:paraId="1839BCB0">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14:paraId="584622E3">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14:paraId="6D7AC8F8">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14:paraId="5A0ECCDF">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14:paraId="50384916">
      <w:pPr>
        <w:pStyle w:val="3"/>
      </w:pPr>
      <w:r>
        <w:rPr>
          <w:rFonts w:ascii="Times New Roman" w:hAnsi="Times New Roman" w:eastAsia="Songti SC"/>
        </w:rPr>
        <w:t>2 框架设计与关键方法</w:t>
      </w:r>
    </w:p>
    <w:p w14:paraId="2119672E">
      <w:pPr>
        <w:pStyle w:val="4"/>
      </w:pPr>
      <w:r>
        <w:rPr>
          <w:rFonts w:ascii="Times New Roman" w:hAnsi="Times New Roman" w:eastAsia="Songti SC"/>
        </w:rPr>
        <w:t>2.1 总体架构与数据生命周期</w:t>
      </w:r>
    </w:p>
    <w:p w14:paraId="7B2DF041">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14:paraId="53115E60">
      <w:pPr>
        <w:jc w:val="center"/>
      </w:pPr>
      <w:r>
        <w:drawing>
          <wp:inline distT="0" distB="0" distL="114300" distR="114300">
            <wp:extent cx="5399405" cy="3037840"/>
            <wp:effectExtent l="0" t="0" r="107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3038400"/>
                    </a:xfrm>
                    <a:prstGeom prst="rect">
                      <a:avLst/>
                    </a:prstGeom>
                  </pic:spPr>
                </pic:pic>
              </a:graphicData>
            </a:graphic>
          </wp:inline>
        </w:drawing>
      </w:r>
    </w:p>
    <w:p w14:paraId="5D241E09">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14:paraId="183A586E">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14:paraId="4662CD86">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14:paraId="03DE0431">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14:paraId="128E8E56">
      <w:r>
        <w:rPr>
          <w:rFonts w:ascii="Times New Roman" w:hAnsi="Times New Roman" w:eastAsia="Songti SC"/>
        </w:rPr>
        <w:t>表1概括2022版与新版的主要差异及其在数据生命周期中的作用。</w:t>
      </w:r>
    </w:p>
    <w:p w14:paraId="3866EE67">
      <w:pPr>
        <w:ind w:firstLine="0"/>
      </w:pPr>
      <w:r>
        <w:rPr>
          <w:rFonts w:ascii="Times New Roman" w:hAnsi="Times New Roman" w:eastAsia="Songti SC"/>
          <w:b/>
        </w:rPr>
        <w:t>表1 2022版与新版GriddingMachine的功能和技术路线比较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1"/>
        <w:gridCol w:w="2211"/>
        <w:gridCol w:w="2211"/>
        <w:gridCol w:w="2211"/>
      </w:tblGrid>
      <w:tr w14:paraId="06AB2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shd w:val="clear" w:color="auto" w:fill="D9EAF7"/>
          </w:tcPr>
          <w:p w14:paraId="46BA97C6">
            <w:r>
              <w:rPr>
                <w:rFonts w:ascii="Times New Roman" w:hAnsi="Times New Roman" w:eastAsia="Songti SC"/>
                <w:b/>
                <w:sz w:val="18"/>
              </w:rPr>
              <w:t>环节</w:t>
            </w:r>
          </w:p>
        </w:tc>
        <w:tc>
          <w:tcPr>
            <w:tcW w:w="2211" w:type="dxa"/>
            <w:shd w:val="clear" w:color="auto" w:fill="D9EAF7"/>
          </w:tcPr>
          <w:p w14:paraId="096C1D37">
            <w:r>
              <w:rPr>
                <w:rFonts w:ascii="Times New Roman" w:hAnsi="Times New Roman" w:eastAsia="Songti SC"/>
                <w:b/>
                <w:sz w:val="18"/>
              </w:rPr>
              <w:t>2022版</w:t>
            </w:r>
          </w:p>
        </w:tc>
        <w:tc>
          <w:tcPr>
            <w:tcW w:w="2211" w:type="dxa"/>
            <w:shd w:val="clear" w:color="auto" w:fill="D9EAF7"/>
          </w:tcPr>
          <w:p w14:paraId="3780A1A7">
            <w:r>
              <w:rPr>
                <w:rFonts w:ascii="Times New Roman" w:hAnsi="Times New Roman" w:eastAsia="Songti SC"/>
                <w:b/>
                <w:sz w:val="18"/>
              </w:rPr>
              <w:t>新版</w:t>
            </w:r>
          </w:p>
        </w:tc>
        <w:tc>
          <w:tcPr>
            <w:tcW w:w="2211" w:type="dxa"/>
            <w:shd w:val="clear" w:color="auto" w:fill="D9EAF7"/>
          </w:tcPr>
          <w:p w14:paraId="1510A337">
            <w:r>
              <w:rPr>
                <w:rFonts w:ascii="Times New Roman" w:hAnsi="Times New Roman" w:eastAsia="Songti SC"/>
                <w:b/>
                <w:sz w:val="18"/>
              </w:rPr>
              <w:t>对科研流程的作用</w:t>
            </w:r>
          </w:p>
        </w:tc>
      </w:tr>
      <w:tr w14:paraId="020B8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35A7345F">
            <w:r>
              <w:rPr>
                <w:rFonts w:ascii="Times New Roman" w:hAnsi="Times New Roman" w:eastAsia="Songti SC"/>
                <w:sz w:val="18"/>
              </w:rPr>
              <w:t>分发单元</w:t>
            </w:r>
          </w:p>
        </w:tc>
        <w:tc>
          <w:tcPr>
            <w:tcW w:w="2211" w:type="dxa"/>
          </w:tcPr>
          <w:p w14:paraId="26120EB2">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w="2211" w:type="dxa"/>
          </w:tcPr>
          <w:p w14:paraId="2550060A">
            <w:r>
              <w:rPr>
                <w:rFonts w:ascii="Times New Roman" w:hAnsi="Times New Roman" w:eastAsia="Songti SC"/>
                <w:sz w:val="18"/>
              </w:rPr>
              <w:t>可直接读取的</w:t>
            </w:r>
            <w:r>
              <w:rPr>
                <w:rFonts w:ascii="Consolas" w:hAnsi="Consolas" w:eastAsia="Songti SC"/>
                <w:sz w:val="18"/>
              </w:rPr>
              <w:t>.nc</w:t>
            </w:r>
          </w:p>
        </w:tc>
        <w:tc>
          <w:tcPr>
            <w:tcW w:w="2211" w:type="dxa"/>
          </w:tcPr>
          <w:p w14:paraId="70BF4291">
            <w:r>
              <w:rPr>
                <w:rFonts w:ascii="Times New Roman" w:hAnsi="Times New Roman" w:eastAsia="Songti SC"/>
                <w:sz w:val="18"/>
              </w:rPr>
              <w:t>简化数据获取并降低端到端读取时间</w:t>
            </w:r>
          </w:p>
        </w:tc>
      </w:tr>
      <w:tr w14:paraId="1D9D8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7E9C8516">
            <w:r>
              <w:rPr>
                <w:rFonts w:ascii="Times New Roman" w:hAnsi="Times New Roman" w:eastAsia="Songti SC"/>
                <w:sz w:val="18"/>
              </w:rPr>
              <w:t>数据目录</w:t>
            </w:r>
          </w:p>
        </w:tc>
        <w:tc>
          <w:tcPr>
            <w:tcW w:w="2211" w:type="dxa"/>
          </w:tcPr>
          <w:p w14:paraId="330EE3B4">
            <w:r>
              <w:rPr>
                <w:rFonts w:ascii="Times New Roman" w:hAnsi="Times New Roman" w:eastAsia="Songti SC"/>
                <w:sz w:val="18"/>
              </w:rPr>
              <w:t>软件内置</w:t>
            </w:r>
            <w:r>
              <w:rPr>
                <w:rFonts w:ascii="Consolas" w:hAnsi="Consolas" w:eastAsia="Songti SC"/>
                <w:sz w:val="18"/>
              </w:rPr>
              <w:t>Artifacts.toml</w:t>
            </w:r>
          </w:p>
        </w:tc>
        <w:tc>
          <w:tcPr>
            <w:tcW w:w="2211" w:type="dxa"/>
          </w:tcPr>
          <w:p w14:paraId="7B0CA4E5">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w="2211" w:type="dxa"/>
          </w:tcPr>
          <w:p w14:paraId="3C1FA05C">
            <w:r>
              <w:rPr>
                <w:rFonts w:ascii="Times New Roman" w:hAnsi="Times New Roman" w:eastAsia="Songti SC"/>
                <w:sz w:val="18"/>
              </w:rPr>
              <w:t>数据目录可独立于软件版本维护</w:t>
            </w:r>
          </w:p>
        </w:tc>
      </w:tr>
      <w:tr w14:paraId="5583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2C3E834E">
            <w:r>
              <w:rPr>
                <w:rFonts w:ascii="Times New Roman" w:hAnsi="Times New Roman" w:eastAsia="Songti SC"/>
                <w:sz w:val="18"/>
              </w:rPr>
              <w:t>数据获取</w:t>
            </w:r>
          </w:p>
        </w:tc>
        <w:tc>
          <w:tcPr>
            <w:tcW w:w="2211" w:type="dxa"/>
          </w:tcPr>
          <w:p w14:paraId="18D283CC">
            <w:r>
              <w:rPr>
                <w:rFonts w:ascii="Times New Roman" w:hAnsi="Times New Roman" w:eastAsia="Songti SC"/>
                <w:sz w:val="18"/>
              </w:rPr>
              <w:t>artifact 哈希寻址、多个 URL 和解包</w:t>
            </w:r>
          </w:p>
        </w:tc>
        <w:tc>
          <w:tcPr>
            <w:tcW w:w="2211" w:type="dxa"/>
          </w:tcPr>
          <w:p w14:paraId="7EBA4807">
            <w:r>
              <w:rPr>
                <w:rFonts w:ascii="Times New Roman" w:hAnsi="Times New Roman" w:eastAsia="Songti SC"/>
                <w:sz w:val="18"/>
              </w:rPr>
              <w:t>多镜像回退、临时文件下载和完整性校验</w:t>
            </w:r>
          </w:p>
        </w:tc>
        <w:tc>
          <w:tcPr>
            <w:tcW w:w="2211" w:type="dxa"/>
          </w:tcPr>
          <w:p w14:paraId="5954764E">
            <w:r>
              <w:rPr>
                <w:rFonts w:ascii="Times New Roman" w:hAnsi="Times New Roman" w:eastAsia="Songti SC"/>
                <w:sz w:val="18"/>
              </w:rPr>
              <w:t>提高数据获取的可靠性和可追溯性</w:t>
            </w:r>
          </w:p>
        </w:tc>
      </w:tr>
      <w:tr w14:paraId="2419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4EA6D974">
            <w:r>
              <w:rPr>
                <w:rFonts w:ascii="Times New Roman" w:hAnsi="Times New Roman" w:eastAsia="Songti SC"/>
                <w:sz w:val="18"/>
              </w:rPr>
              <w:t>数据读取接口</w:t>
            </w:r>
          </w:p>
        </w:tc>
        <w:tc>
          <w:tcPr>
            <w:tcW w:w="2211" w:type="dxa"/>
          </w:tcPr>
          <w:p w14:paraId="7593F9B0">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w="2211" w:type="dxa"/>
          </w:tcPr>
          <w:p w14:paraId="7BC88BAB">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w="2211" w:type="dxa"/>
          </w:tcPr>
          <w:p w14:paraId="042E5B86">
            <w:r>
              <w:rPr>
                <w:rFonts w:ascii="Times New Roman" w:hAnsi="Times New Roman" w:eastAsia="Songti SC"/>
                <w:sz w:val="18"/>
              </w:rPr>
              <w:t>统一数据发现、读取和模式输入组织，降低旧接口迁移成本</w:t>
            </w:r>
          </w:p>
        </w:tc>
      </w:tr>
      <w:tr w14:paraId="1DED4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43818CCF">
            <w:r>
              <w:rPr>
                <w:rFonts w:ascii="Times New Roman" w:hAnsi="Times New Roman" w:eastAsia="Songti SC"/>
                <w:sz w:val="18"/>
              </w:rPr>
              <w:t>多语言访问</w:t>
            </w:r>
          </w:p>
        </w:tc>
        <w:tc>
          <w:tcPr>
            <w:tcW w:w="2211" w:type="dxa"/>
          </w:tcPr>
          <w:p w14:paraId="03A9CFB8">
            <w:r>
              <w:rPr>
                <w:rFonts w:ascii="Times New Roman" w:hAnsi="Times New Roman" w:eastAsia="Songti SC"/>
                <w:sz w:val="18"/>
              </w:rPr>
              <w:t>提供Julia、Matlab、Octave、Python和R接口</w:t>
            </w:r>
          </w:p>
        </w:tc>
        <w:tc>
          <w:tcPr>
            <w:tcW w:w="2211" w:type="dxa"/>
          </w:tcPr>
          <w:p w14:paraId="40438993">
            <w:r>
              <w:rPr>
                <w:rFonts w:ascii="Times New Roman" w:hAnsi="Times New Roman" w:eastAsia="Songti SC"/>
                <w:sz w:val="18"/>
              </w:rPr>
              <w:t>在保留原有接口的基础上完善Matlab、Octave、Python和R自动下载，并新增C和Fortran自动下载入口</w:t>
            </w:r>
          </w:p>
        </w:tc>
        <w:tc>
          <w:tcPr>
            <w:tcW w:w="2211" w:type="dxa"/>
          </w:tcPr>
          <w:p w14:paraId="3AD41D3A">
            <w:r>
              <w:rPr>
                <w:rFonts w:ascii="Times New Roman" w:hAnsi="Times New Roman" w:eastAsia="Songti SC"/>
                <w:sz w:val="18"/>
              </w:rPr>
              <w:t>扩展科研人员获取新版网格数据的编程环境</w:t>
            </w:r>
          </w:p>
        </w:tc>
      </w:tr>
      <w:tr w14:paraId="274B8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2259F802">
            <w:r>
              <w:rPr>
                <w:rFonts w:ascii="Times New Roman" w:hAnsi="Times New Roman" w:eastAsia="Songti SC"/>
                <w:sz w:val="18"/>
              </w:rPr>
              <w:t>模式组织</w:t>
            </w:r>
          </w:p>
        </w:tc>
        <w:tc>
          <w:tcPr>
            <w:tcW w:w="2211" w:type="dxa"/>
          </w:tcPr>
          <w:p w14:paraId="1C9F44C4">
            <w:r>
              <w:rPr>
                <w:rFonts w:ascii="Times New Roman" w:hAnsi="Times New Roman" w:eastAsia="Songti SC"/>
                <w:sz w:val="18"/>
              </w:rPr>
              <w:t>标准化数据和通用读取</w:t>
            </w:r>
          </w:p>
        </w:tc>
        <w:tc>
          <w:tcPr>
            <w:tcW w:w="2211" w:type="dxa"/>
          </w:tcPr>
          <w:p w14:paraId="20CD0845">
            <w:r>
              <w:rPr>
                <w:rFonts w:ascii="Times New Roman" w:hAnsi="Times New Roman" w:eastAsia="Songti SC"/>
                <w:sz w:val="18"/>
              </w:rPr>
              <w:t>陆面参数融合与气象驱动组织</w:t>
            </w:r>
          </w:p>
        </w:tc>
        <w:tc>
          <w:tcPr>
            <w:tcW w:w="2211" w:type="dxa"/>
          </w:tcPr>
          <w:p w14:paraId="125916D5">
            <w:r>
              <w:rPr>
                <w:rFonts w:ascii="Times New Roman" w:hAnsi="Times New Roman" w:eastAsia="Songti SC"/>
                <w:sz w:val="18"/>
              </w:rPr>
              <w:t>标准化数据进入Emerald参数组织与模式初始化</w:t>
            </w:r>
          </w:p>
        </w:tc>
      </w:tr>
      <w:tr w14:paraId="5A39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6ABA1296">
            <w:r>
              <w:rPr>
                <w:rFonts w:ascii="Times New Roman" w:hAnsi="Times New Roman" w:eastAsia="Songti SC"/>
                <w:sz w:val="18"/>
              </w:rPr>
              <w:t>数据生产</w:t>
            </w:r>
          </w:p>
        </w:tc>
        <w:tc>
          <w:tcPr>
            <w:tcW w:w="2211" w:type="dxa"/>
          </w:tcPr>
          <w:p w14:paraId="0F74BA07">
            <w:r>
              <w:rPr>
                <w:rFonts w:ascii="Times New Roman" w:hAnsi="Times New Roman" w:eastAsia="Songti SC"/>
                <w:sz w:val="18"/>
              </w:rPr>
              <w:t>数据源专用处理及贡献流程</w:t>
            </w:r>
          </w:p>
        </w:tc>
        <w:tc>
          <w:tcPr>
            <w:tcW w:w="2211" w:type="dxa"/>
          </w:tcPr>
          <w:p w14:paraId="3B0F8DBA">
            <w:r>
              <w:rPr>
                <w:rFonts w:ascii="Times New Roman" w:hAnsi="Times New Roman" w:eastAsia="Songti SC"/>
                <w:sz w:val="18"/>
              </w:rPr>
              <w:t>共享YAML配置规范、程序化与交互式配置生成及显式源维度映射</w:t>
            </w:r>
          </w:p>
        </w:tc>
        <w:tc>
          <w:tcPr>
            <w:tcW w:w="2211" w:type="dxa"/>
          </w:tcPr>
          <w:p w14:paraId="56C3A0C0">
            <w:r>
              <w:rPr>
                <w:rFonts w:ascii="Times New Roman" w:hAnsi="Times New Roman" w:eastAsia="Songti SC"/>
                <w:sz w:val="18"/>
              </w:rPr>
              <w:t>形成共享的标准化数据生产工作流</w:t>
            </w:r>
          </w:p>
        </w:tc>
      </w:tr>
    </w:tbl>
    <w:p w14:paraId="0B2E12E1">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14:paraId="75DB212F">
      <w:pPr>
        <w:pStyle w:val="4"/>
      </w:pPr>
      <w:r>
        <w:rPr>
          <w:rFonts w:ascii="Times New Roman" w:hAnsi="Times New Roman" w:eastAsia="Songti SC"/>
        </w:rPr>
        <w:t>2.2 YAML驱动的数据生产与标准化</w:t>
      </w:r>
    </w:p>
    <w:p w14:paraId="373A3F75">
      <w:pPr>
        <w:pStyle w:val="5"/>
      </w:pPr>
      <w:r>
        <w:rPr>
          <w:rFonts w:ascii="Times New Roman" w:hAnsi="Times New Roman" w:eastAsia="Songti SC"/>
        </w:rPr>
        <w:t>2.2.1 数据契约与维度映射</w:t>
      </w:r>
    </w:p>
    <w:p w14:paraId="1F62D35E">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14:paraId="64436673">
      <w:pPr>
        <w:ind w:firstLine="0"/>
      </w:pPr>
      <w:r>
        <w:rPr>
          <w:rFonts w:ascii="Times New Roman" w:hAnsi="Times New Roman" w:eastAsia="Songti SC"/>
          <w:b/>
        </w:rPr>
        <w:t>表2 GriddingMachine 标准 NetCDF 数据与元数据规范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8"/>
        <w:gridCol w:w="2948"/>
        <w:gridCol w:w="2948"/>
      </w:tblGrid>
      <w:tr w14:paraId="07D5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shd w:val="clear" w:color="auto" w:fill="D9EAF7"/>
          </w:tcPr>
          <w:p w14:paraId="7B09460B">
            <w:r>
              <w:rPr>
                <w:rFonts w:ascii="Times New Roman" w:hAnsi="Times New Roman" w:eastAsia="Songti SC"/>
                <w:b/>
                <w:sz w:val="18"/>
              </w:rPr>
              <w:t>类别</w:t>
            </w:r>
          </w:p>
        </w:tc>
        <w:tc>
          <w:tcPr>
            <w:tcW w:w="2948" w:type="dxa"/>
            <w:shd w:val="clear" w:color="auto" w:fill="D9EAF7"/>
          </w:tcPr>
          <w:p w14:paraId="5052B3DC">
            <w:r>
              <w:rPr>
                <w:rFonts w:ascii="Times New Roman" w:hAnsi="Times New Roman" w:eastAsia="Songti SC"/>
                <w:b/>
                <w:sz w:val="18"/>
              </w:rPr>
              <w:t>新版规范</w:t>
            </w:r>
          </w:p>
        </w:tc>
        <w:tc>
          <w:tcPr>
            <w:tcW w:w="2948" w:type="dxa"/>
            <w:shd w:val="clear" w:color="auto" w:fill="D9EAF7"/>
          </w:tcPr>
          <w:p w14:paraId="4C58AEE5">
            <w:r>
              <w:rPr>
                <w:rFonts w:ascii="Times New Roman" w:hAnsi="Times New Roman" w:eastAsia="Songti SC"/>
                <w:b/>
                <w:sz w:val="18"/>
              </w:rPr>
              <w:t>实现方式</w:t>
            </w:r>
          </w:p>
        </w:tc>
      </w:tr>
      <w:tr w14:paraId="0749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8B737C1">
            <w:r>
              <w:rPr>
                <w:rFonts w:ascii="Times New Roman" w:hAnsi="Times New Roman" w:eastAsia="Songti SC"/>
                <w:sz w:val="18"/>
              </w:rPr>
              <w:t>文件与网格</w:t>
            </w:r>
          </w:p>
        </w:tc>
        <w:tc>
          <w:tcPr>
            <w:tcW w:w="2948" w:type="dxa"/>
          </w:tcPr>
          <w:p w14:paraId="6519E9E2">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w="2948" w:type="dxa"/>
          </w:tcPr>
          <w:p w14:paraId="461301C7">
            <w:r>
              <w:rPr>
                <w:rFonts w:ascii="Times New Roman" w:hAnsi="Times New Roman" w:eastAsia="Songti SC"/>
                <w:sz w:val="18"/>
              </w:rPr>
              <w:t>NetCDF统一保存数据、坐标与自描述元数据</w:t>
            </w:r>
          </w:p>
        </w:tc>
      </w:tr>
      <w:tr w14:paraId="216D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6B86BADA">
            <w:r>
              <w:rPr>
                <w:rFonts w:ascii="Times New Roman" w:hAnsi="Times New Roman" w:eastAsia="Songti SC"/>
                <w:sz w:val="18"/>
              </w:rPr>
              <w:t>维度</w:t>
            </w:r>
          </w:p>
        </w:tc>
        <w:tc>
          <w:tcPr>
            <w:tcW w:w="2948" w:type="dxa"/>
          </w:tcPr>
          <w:p w14:paraId="35273D40">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w="2948" w:type="dxa"/>
          </w:tcPr>
          <w:p w14:paraId="33F7CF6E">
            <w:r>
              <w:rPr>
                <w:rFonts w:ascii="Times New Roman" w:hAnsi="Times New Roman" w:eastAsia="Songti SC"/>
                <w:sz w:val="18"/>
              </w:rPr>
              <w:t>通用维度映射将多种源排列转换为统一结构</w:t>
            </w:r>
          </w:p>
        </w:tc>
      </w:tr>
      <w:tr w14:paraId="70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03D644E">
            <w:r>
              <w:rPr>
                <w:rFonts w:ascii="Times New Roman" w:hAnsi="Times New Roman" w:eastAsia="Songti SC"/>
                <w:sz w:val="18"/>
              </w:rPr>
              <w:t>坐标方向</w:t>
            </w:r>
          </w:p>
        </w:tc>
        <w:tc>
          <w:tcPr>
            <w:tcW w:w="2948" w:type="dxa"/>
          </w:tcPr>
          <w:p w14:paraId="728651BF">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w="2948" w:type="dxa"/>
          </w:tcPr>
          <w:p w14:paraId="07C7A704">
            <w:r>
              <w:rPr>
                <w:rFonts w:ascii="Times New Roman" w:hAnsi="Times New Roman" w:eastAsia="Songti SC"/>
                <w:sz w:val="18"/>
              </w:rPr>
              <w:t>翻转和循环平移保持数据与坐标同步</w:t>
            </w:r>
          </w:p>
        </w:tc>
      </w:tr>
      <w:tr w14:paraId="6913B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A9C1582">
            <w:r>
              <w:rPr>
                <w:rFonts w:ascii="Times New Roman" w:hAnsi="Times New Roman" w:eastAsia="Songti SC"/>
                <w:sz w:val="18"/>
              </w:rPr>
              <w:t>数据变量</w:t>
            </w:r>
          </w:p>
        </w:tc>
        <w:tc>
          <w:tcPr>
            <w:tcW w:w="2948" w:type="dxa"/>
          </w:tcPr>
          <w:p w14:paraId="5DAD125E">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w="2948" w:type="dxa"/>
          </w:tcPr>
          <w:p w14:paraId="212C15DD">
            <w:r>
              <w:rPr>
                <w:rFonts w:ascii="Times New Roman" w:hAnsi="Times New Roman" w:eastAsia="Songti SC"/>
                <w:sz w:val="18"/>
              </w:rPr>
              <w:t>统一变量命名、类型、单位和数值表达</w:t>
            </w:r>
          </w:p>
        </w:tc>
      </w:tr>
      <w:tr w14:paraId="323F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595FA0C7">
            <w:r>
              <w:rPr>
                <w:rFonts w:ascii="Times New Roman" w:hAnsi="Times New Roman" w:eastAsia="Songti SC"/>
                <w:sz w:val="18"/>
              </w:rPr>
              <w:t>缺失值填补与范围</w:t>
            </w:r>
          </w:p>
        </w:tc>
        <w:tc>
          <w:tcPr>
            <w:tcW w:w="2948" w:type="dxa"/>
          </w:tcPr>
          <w:p w14:paraId="0C098C5D">
            <w:r>
              <w:rPr>
                <w:rFonts w:ascii="Times New Roman" w:hAnsi="Times New Roman" w:eastAsia="Songti SC"/>
                <w:sz w:val="18"/>
              </w:rPr>
              <w:t>有效范围、填充值和缺失值填补策略由YAML显式声明</w:t>
            </w:r>
          </w:p>
        </w:tc>
        <w:tc>
          <w:tcPr>
            <w:tcW w:w="2948" w:type="dxa"/>
          </w:tcPr>
          <w:p w14:paraId="6F35E7AE">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14:paraId="223B0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2969870F">
            <w:r>
              <w:rPr>
                <w:rFonts w:ascii="Times New Roman" w:hAnsi="Times New Roman" w:eastAsia="Songti SC"/>
                <w:sz w:val="18"/>
              </w:rPr>
              <w:t>变量元数据</w:t>
            </w:r>
          </w:p>
        </w:tc>
        <w:tc>
          <w:tcPr>
            <w:tcW w:w="2948" w:type="dxa"/>
          </w:tcPr>
          <w:p w14:paraId="04FC0543">
            <w:r>
              <w:rPr>
                <w:rFonts w:ascii="Consolas" w:hAnsi="Consolas" w:eastAsia="Songti SC"/>
                <w:sz w:val="18"/>
              </w:rPr>
              <w:t>data/std</w:t>
            </w:r>
            <w:r>
              <w:rPr>
                <w:rFonts w:ascii="Times New Roman" w:hAnsi="Times New Roman" w:eastAsia="Songti SC"/>
                <w:sz w:val="18"/>
              </w:rPr>
              <w:t>记录可读说明、单位及处理变更条目</w:t>
            </w:r>
          </w:p>
        </w:tc>
        <w:tc>
          <w:tcPr>
            <w:tcW w:w="2948" w:type="dxa"/>
          </w:tcPr>
          <w:p w14:paraId="76FEAC75">
            <w:r>
              <w:rPr>
                <w:rFonts w:ascii="Times New Roman" w:hAnsi="Times New Roman" w:eastAsia="Songti SC"/>
                <w:sz w:val="18"/>
              </w:rPr>
              <w:t>输出文件保留变量语义与主要转换过程</w:t>
            </w:r>
          </w:p>
        </w:tc>
      </w:tr>
      <w:tr w14:paraId="3788C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3BF9FE49">
            <w:r>
              <w:rPr>
                <w:rFonts w:ascii="Times New Roman" w:hAnsi="Times New Roman" w:eastAsia="Songti SC"/>
                <w:sz w:val="18"/>
              </w:rPr>
              <w:t>处理记录</w:t>
            </w:r>
          </w:p>
        </w:tc>
        <w:tc>
          <w:tcPr>
            <w:tcW w:w="2948" w:type="dxa"/>
          </w:tcPr>
          <w:p w14:paraId="59F98271">
            <w:r>
              <w:rPr>
                <w:rFonts w:ascii="Times New Roman" w:hAnsi="Times New Roman" w:eastAsia="Songti SC"/>
                <w:sz w:val="18"/>
              </w:rPr>
              <w:t>YAML声明维度、坐标、数值与缺失值填补规则；NetCDF属性写入逐项变更记录</w:t>
            </w:r>
          </w:p>
        </w:tc>
        <w:tc>
          <w:tcPr>
            <w:tcW w:w="2948" w:type="dxa"/>
          </w:tcPr>
          <w:p w14:paraId="3EEA13CD">
            <w:r>
              <w:rPr>
                <w:rFonts w:ascii="Times New Roman" w:hAnsi="Times New Roman" w:eastAsia="Songti SC"/>
                <w:sz w:val="18"/>
              </w:rPr>
              <w:t>配置意图与数据集处理历史相互对应</w:t>
            </w:r>
          </w:p>
        </w:tc>
      </w:tr>
      <w:tr w14:paraId="45234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221EFD2">
            <w:r>
              <w:rPr>
                <w:rFonts w:ascii="Times New Roman" w:hAnsi="Times New Roman" w:eastAsia="Songti SC"/>
                <w:sz w:val="18"/>
              </w:rPr>
              <w:t>处理复现</w:t>
            </w:r>
          </w:p>
        </w:tc>
        <w:tc>
          <w:tcPr>
            <w:tcW w:w="2948" w:type="dxa"/>
          </w:tcPr>
          <w:p w14:paraId="2D319325">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w="2948" w:type="dxa"/>
          </w:tcPr>
          <w:p w14:paraId="250F33D2">
            <w:r>
              <w:rPr>
                <w:rFonts w:ascii="Times New Roman" w:hAnsi="Times New Roman" w:eastAsia="Songti SC"/>
                <w:sz w:val="18"/>
              </w:rPr>
              <w:t>配置、输入与代码版本共同重建标准化数据</w:t>
            </w:r>
          </w:p>
        </w:tc>
      </w:tr>
      <w:tr w14:paraId="39EFA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9C2FE5D">
            <w:r>
              <w:rPr>
                <w:rFonts w:ascii="Times New Roman" w:hAnsi="Times New Roman" w:eastAsia="Songti SC"/>
                <w:sz w:val="18"/>
              </w:rPr>
              <w:t>标签与版本</w:t>
            </w:r>
          </w:p>
        </w:tc>
        <w:tc>
          <w:tcPr>
            <w:tcW w:w="2948" w:type="dxa"/>
          </w:tcPr>
          <w:p w14:paraId="392CFBC8">
            <w:r>
              <w:rPr>
                <w:rFonts w:ascii="Times New Roman" w:hAnsi="Times New Roman" w:eastAsia="Songti SC"/>
                <w:sz w:val="18"/>
              </w:rPr>
              <w:t>标签表达类别、空间/时间分辨率、年份、版本和可选修订号</w:t>
            </w:r>
          </w:p>
        </w:tc>
        <w:tc>
          <w:tcPr>
            <w:tcW w:w="2948" w:type="dxa"/>
          </w:tcPr>
          <w:p w14:paraId="0584D355">
            <w:r>
              <w:rPr>
                <w:rFonts w:ascii="Times New Roman" w:hAnsi="Times New Roman" w:eastAsia="Songti SC"/>
                <w:sz w:val="18"/>
              </w:rPr>
              <w:t>标签与文件名共同形成稳定数据集标识</w:t>
            </w:r>
          </w:p>
        </w:tc>
      </w:tr>
      <w:tr w14:paraId="7832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416BA852">
            <w:r>
              <w:rPr>
                <w:rFonts w:ascii="Times New Roman" w:hAnsi="Times New Roman" w:eastAsia="Songti SC"/>
                <w:sz w:val="18"/>
              </w:rPr>
              <w:t>分发完整性</w:t>
            </w:r>
          </w:p>
        </w:tc>
        <w:tc>
          <w:tcPr>
            <w:tcW w:w="2948" w:type="dxa"/>
          </w:tcPr>
          <w:p w14:paraId="2F453DC7">
            <w:r>
              <w:rPr>
                <w:rFonts w:ascii="Times New Roman" w:hAnsi="Times New Roman" w:eastAsia="Songti SC"/>
                <w:sz w:val="18"/>
              </w:rPr>
              <w:t>新登记或严格完整性条目记录文件字节数和SHA-256；同一标签的受控镜像指向相同内容</w:t>
            </w:r>
          </w:p>
        </w:tc>
        <w:tc>
          <w:tcPr>
            <w:tcW w:w="2948" w:type="dxa"/>
          </w:tcPr>
          <w:p w14:paraId="4431E445">
            <w:r>
              <w:rPr>
                <w:rFonts w:ascii="Times New Roman" w:hAnsi="Times New Roman" w:eastAsia="Songti SC"/>
                <w:sz w:val="18"/>
              </w:rPr>
              <w:t>对带完整性元数据的条目下载后核验并以事务方式进入正式目录；历史条目由兼容模式承接</w:t>
            </w:r>
          </w:p>
        </w:tc>
      </w:tr>
    </w:tbl>
    <w:p w14:paraId="37BD9A12">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14:paraId="538AEBBE">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14:paraId="5D1F79B9">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14:paraId="69BE39ED">
      <w:pPr>
        <w:pStyle w:val="5"/>
      </w:pPr>
      <w:r>
        <w:rPr>
          <w:rFonts w:ascii="Times New Roman" w:hAnsi="Times New Roman" w:eastAsia="Songti SC"/>
        </w:rPr>
        <w:t>2.2.2 YAML配置与转换示例</w:t>
      </w:r>
    </w:p>
    <w:p w14:paraId="3665784F">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14:paraId="03326AF1">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14:paraId="57966762">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14:paraId="2B6D8BCD">
      <w:pPr>
        <w:pStyle w:val="5"/>
      </w:pPr>
      <w:r>
        <w:rPr>
          <w:rFonts w:ascii="Times New Roman" w:hAnsi="Times New Roman" w:eastAsia="Songti SC"/>
        </w:rPr>
        <w:t>2.2.3 生产流程与质量控制</w:t>
      </w:r>
    </w:p>
    <w:p w14:paraId="76C8DAE5">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14:paraId="0A1C304B">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14:paraId="20D9E62F">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14:paraId="1D10DFED">
      <w:pPr>
        <w:pStyle w:val="4"/>
      </w:pPr>
      <w:r>
        <w:rPr>
          <w:rFonts w:ascii="Times New Roman" w:hAnsi="Times New Roman" w:eastAsia="Songti SC"/>
        </w:rPr>
        <w:t>2.3 独立数据目录与事务式多镜像分发</w:t>
      </w:r>
    </w:p>
    <w:p w14:paraId="0A5EBF9B">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14:paraId="075CA153">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14:paraId="1C161290">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14:paraId="098912C9">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14:paraId="145698DB">
      <w:pPr>
        <w:pStyle w:val="4"/>
      </w:pPr>
      <w:r>
        <w:rPr>
          <w:rFonts w:ascii="Times New Roman" w:hAnsi="Times New Roman" w:eastAsia="Songti SC"/>
        </w:rPr>
        <w:t>2.4 统一读取与模式输入组织</w:t>
      </w:r>
    </w:p>
    <w:p w14:paraId="381CC0D5">
      <w:pPr>
        <w:pStyle w:val="5"/>
      </w:pPr>
      <w:r>
        <w:rPr>
          <w:rFonts w:ascii="Times New Roman" w:hAnsi="Times New Roman" w:eastAsia="Songti SC"/>
        </w:rPr>
        <w:t>2.4.1 标准网格数据读取</w:t>
      </w:r>
    </w:p>
    <w:p w14:paraId="38DF9686">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14:paraId="6FB3A9A6">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14:paraId="1E8CC524">
      <w:pPr>
        <w:pStyle w:val="5"/>
      </w:pPr>
      <w:r>
        <w:rPr>
          <w:rFonts w:ascii="Times New Roman" w:hAnsi="Times New Roman" w:eastAsia="Songti SC"/>
        </w:rPr>
        <w:t>2.4.2 模式参数与气象驱动组织</w:t>
      </w:r>
    </w:p>
    <w:p w14:paraId="0FDD1496">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14:paraId="6AB4AA6E">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14:paraId="0F844A82">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14:paraId="2BCFA966">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14:paraId="1A5B235A">
      <w:pPr>
        <w:pStyle w:val="4"/>
      </w:pPr>
      <w:r>
        <w:rPr>
          <w:rFonts w:ascii="Times New Roman" w:hAnsi="Times New Roman" w:eastAsia="Songti SC"/>
        </w:rPr>
        <w:t>2.5 多语言数据下载接口</w:t>
      </w:r>
    </w:p>
    <w:p w14:paraId="44717617">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14:paraId="322E685E">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14:paraId="201415F2">
      <w:pPr>
        <w:pStyle w:val="3"/>
      </w:pPr>
      <w:r>
        <w:rPr>
          <w:rFonts w:ascii="Times New Roman" w:hAnsi="Times New Roman" w:eastAsia="Songti SC"/>
        </w:rPr>
        <w:t>3 应用案例与评价方法</w:t>
      </w:r>
    </w:p>
    <w:p w14:paraId="188B0961">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14:paraId="6146C9E5">
      <w:pPr>
        <w:ind w:firstLine="0"/>
      </w:pPr>
      <w:r>
        <w:rPr>
          <w:rFonts w:ascii="Times New Roman" w:hAnsi="Times New Roman" w:eastAsia="Songti SC"/>
          <w:b/>
        </w:rPr>
        <w:t>表3 GriddingMachine框架核心贡献、证据层级与主要评价指标</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1"/>
        <w:gridCol w:w="2211"/>
        <w:gridCol w:w="2211"/>
        <w:gridCol w:w="2211"/>
      </w:tblGrid>
      <w:tr w14:paraId="1F33D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shd w:val="clear" w:color="auto" w:fill="D9EAF7"/>
          </w:tcPr>
          <w:p w14:paraId="6848B7F5">
            <w:r>
              <w:rPr>
                <w:rFonts w:ascii="Times New Roman" w:hAnsi="Times New Roman" w:eastAsia="Songti SC"/>
                <w:b/>
                <w:sz w:val="18"/>
              </w:rPr>
              <w:t>核心贡献</w:t>
            </w:r>
          </w:p>
        </w:tc>
        <w:tc>
          <w:tcPr>
            <w:tcW w:w="2211" w:type="dxa"/>
            <w:shd w:val="clear" w:color="auto" w:fill="D9EAF7"/>
          </w:tcPr>
          <w:p w14:paraId="2B59057B">
            <w:r>
              <w:rPr>
                <w:rFonts w:ascii="Times New Roman" w:hAnsi="Times New Roman" w:eastAsia="Songti SC"/>
                <w:b/>
                <w:sz w:val="18"/>
              </w:rPr>
              <w:t>受控或确定性证据</w:t>
            </w:r>
          </w:p>
        </w:tc>
        <w:tc>
          <w:tcPr>
            <w:tcW w:w="2211" w:type="dxa"/>
            <w:shd w:val="clear" w:color="auto" w:fill="D9EAF7"/>
          </w:tcPr>
          <w:p w14:paraId="3619BDA2">
            <w:r>
              <w:rPr>
                <w:rFonts w:ascii="Times New Roman" w:hAnsi="Times New Roman" w:eastAsia="Songti SC"/>
                <w:b/>
                <w:sz w:val="18"/>
              </w:rPr>
              <w:t>真实数据/网络应用</w:t>
            </w:r>
          </w:p>
        </w:tc>
        <w:tc>
          <w:tcPr>
            <w:tcW w:w="2211" w:type="dxa"/>
            <w:shd w:val="clear" w:color="auto" w:fill="D9EAF7"/>
          </w:tcPr>
          <w:p w14:paraId="0E526C0F">
            <w:r>
              <w:rPr>
                <w:rFonts w:ascii="Times New Roman" w:hAnsi="Times New Roman" w:eastAsia="Songti SC"/>
                <w:b/>
                <w:sz w:val="18"/>
              </w:rPr>
              <w:t>主要评价指标</w:t>
            </w:r>
          </w:p>
        </w:tc>
      </w:tr>
      <w:tr w14:paraId="6DB22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59517353">
            <w:r>
              <w:rPr>
                <w:rFonts w:ascii="Times New Roman" w:hAnsi="Times New Roman" w:eastAsia="Songti SC"/>
                <w:sz w:val="18"/>
              </w:rPr>
              <w:t>数据生产与标准化层将异构源数据转换为标准NetCDF</w:t>
            </w:r>
          </w:p>
        </w:tc>
        <w:tc>
          <w:tcPr>
            <w:tcW w:w="2211" w:type="dxa"/>
          </w:tcPr>
          <w:p w14:paraId="66E6CE5B">
            <w:r>
              <w:rPr>
                <w:rFonts w:ascii="Times New Roman" w:hAnsi="Times New Roman" w:eastAsia="Songti SC"/>
                <w:sz w:val="18"/>
              </w:rPr>
              <w:t>31组受控实例、ELEV重复生产与逐点核对</w:t>
            </w:r>
          </w:p>
        </w:tc>
        <w:tc>
          <w:tcPr>
            <w:tcW w:w="2211" w:type="dxa"/>
          </w:tcPr>
          <w:p w14:paraId="7159219A">
            <w:r>
              <w:rPr>
                <w:rFonts w:ascii="Times New Roman" w:hAnsi="Times New Roman" w:eastAsia="Songti SC"/>
                <w:sz w:val="18"/>
              </w:rPr>
              <w:t>OISST V2.1真实异构源数据</w:t>
            </w:r>
          </w:p>
        </w:tc>
        <w:tc>
          <w:tcPr>
            <w:tcW w:w="2211" w:type="dxa"/>
          </w:tcPr>
          <w:p w14:paraId="49FC21B4">
            <w:r>
              <w:rPr>
                <w:rFonts w:ascii="Times New Roman" w:hAnsi="Times New Roman" w:eastAsia="Songti SC"/>
                <w:sz w:val="18"/>
              </w:rPr>
              <w:t>维度与坐标、有效值掩膜、逐点物理值、重复生成摘要</w:t>
            </w:r>
          </w:p>
        </w:tc>
      </w:tr>
      <w:tr w14:paraId="71A7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509B7E57">
            <w:r>
              <w:rPr>
                <w:rFonts w:ascii="Times New Roman" w:hAnsi="Times New Roman" w:eastAsia="Songti SC"/>
                <w:sz w:val="18"/>
              </w:rPr>
              <w:t>数据目录与可信分发层组织高效且内容可核验的数据获取</w:t>
            </w:r>
          </w:p>
        </w:tc>
        <w:tc>
          <w:tcPr>
            <w:tcW w:w="2211" w:type="dxa"/>
          </w:tcPr>
          <w:p w14:paraId="1710E9EF">
            <w:r>
              <w:rPr>
                <w:rFonts w:ascii="Times New Roman" w:hAnsi="Times New Roman" w:eastAsia="Songti SC"/>
                <w:sz w:val="18"/>
              </w:rPr>
              <w:t>ELEV/LAI回环HTTP对照；13类受控状态场景</w:t>
            </w:r>
          </w:p>
        </w:tc>
        <w:tc>
          <w:tcPr>
            <w:tcW w:w="2211" w:type="dxa"/>
          </w:tcPr>
          <w:p w14:paraId="666E4EFE">
            <w:r>
              <w:rPr>
                <w:rFonts w:ascii="Times New Roman" w:hAnsi="Times New Roman" w:eastAsia="Songti SC"/>
                <w:sz w:val="18"/>
              </w:rPr>
              <w:t>Zenodo公共网络记录；中国科学技术大学（以下简称中科大）校内网 FTP—Zenodo同文件获取</w:t>
            </w:r>
          </w:p>
        </w:tc>
        <w:tc>
          <w:tcPr>
            <w:tcW w:w="2211" w:type="dxa"/>
          </w:tcPr>
          <w:p w14:paraId="5CC40005">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14:paraId="6671A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7C4C0D74">
            <w:r>
              <w:rPr>
                <w:rFonts w:ascii="Times New Roman" w:hAnsi="Times New Roman" w:eastAsia="Songti SC"/>
                <w:sz w:val="18"/>
              </w:rPr>
              <w:t>模式输入组织层将标准化数据组织为模式就绪输入</w:t>
            </w:r>
          </w:p>
        </w:tc>
        <w:tc>
          <w:tcPr>
            <w:tcW w:w="2211" w:type="dxa"/>
          </w:tcPr>
          <w:p w14:paraId="7B265A8C">
            <w:r>
              <w:rPr>
                <w:rFonts w:ascii="Times New Roman" w:hAnsi="Times New Roman" w:eastAsia="Songti SC"/>
                <w:sz w:val="18"/>
              </w:rPr>
              <w:t>确定性读取、字段、时间轴与接口核对</w:t>
            </w:r>
          </w:p>
        </w:tc>
        <w:tc>
          <w:tcPr>
            <w:tcW w:w="2211" w:type="dxa"/>
          </w:tcPr>
          <w:p w14:paraId="035A507F">
            <w:r>
              <w:rPr>
                <w:rFonts w:ascii="Times New Roman" w:hAnsi="Times New Roman" w:eastAsia="Songti SC"/>
                <w:sz w:val="18"/>
              </w:rPr>
              <w:t>US-NR1的14类陆面数据集、8类ERA5及Emerald初始化和60 s首步</w:t>
            </w:r>
          </w:p>
        </w:tc>
        <w:tc>
          <w:tcPr>
            <w:tcW w:w="2211" w:type="dxa"/>
          </w:tcPr>
          <w:p w14:paraId="33F4A610">
            <w:r>
              <w:rPr>
                <w:rFonts w:ascii="Times New Roman" w:hAnsi="Times New Roman" w:eastAsia="Songti SC"/>
                <w:sz w:val="18"/>
              </w:rPr>
              <w:t>字段与形状、时间轴、量纲、逐点数值、初始化与首步状态</w:t>
            </w:r>
          </w:p>
        </w:tc>
      </w:tr>
      <w:tr w14:paraId="200EF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tcPr>
          <w:p w14:paraId="7212F50A">
            <w:r>
              <w:rPr>
                <w:rFonts w:ascii="Times New Roman" w:hAnsi="Times New Roman" w:eastAsia="Songti SC"/>
                <w:sz w:val="18"/>
              </w:rPr>
              <w:t>核心实现具有跨操作系统运行一致性</w:t>
            </w:r>
          </w:p>
        </w:tc>
        <w:tc>
          <w:tcPr>
            <w:tcW w:w="2211" w:type="dxa"/>
          </w:tcPr>
          <w:p w14:paraId="51708F37">
            <w:r>
              <w:rPr>
                <w:rFonts w:ascii="Times New Roman" w:hAnsi="Times New Roman" w:eastAsia="Songti SC"/>
                <w:sz w:val="18"/>
              </w:rPr>
              <w:t>Windows、macOS、Linux持续集成</w:t>
            </w:r>
          </w:p>
        </w:tc>
        <w:tc>
          <w:tcPr>
            <w:tcW w:w="2211" w:type="dxa"/>
          </w:tcPr>
          <w:p w14:paraId="09A42BFD">
            <w:r>
              <w:rPr>
                <w:rFonts w:ascii="Times New Roman" w:hAnsi="Times New Roman" w:eastAsia="Songti SC"/>
                <w:sz w:val="18"/>
              </w:rPr>
              <w:t>Windows/macOS独立性能观测及按实际环境记录的真实网络案例</w:t>
            </w:r>
          </w:p>
        </w:tc>
        <w:tc>
          <w:tcPr>
            <w:tcW w:w="2211" w:type="dxa"/>
          </w:tcPr>
          <w:p w14:paraId="23DAC6BD">
            <w:r>
              <w:rPr>
                <w:rFonts w:ascii="Times New Roman" w:hAnsi="Times New Roman" w:eastAsia="Songti SC"/>
                <w:sz w:val="18"/>
              </w:rPr>
              <w:t>数据集结构、逐点数值、文件摘要、缓存状态和接口状态</w:t>
            </w:r>
          </w:p>
        </w:tc>
      </w:tr>
    </w:tbl>
    <w:p w14:paraId="3DC9EC93">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14:paraId="510E04D1">
      <w:pPr>
        <w:pStyle w:val="4"/>
      </w:pPr>
      <w:r>
        <w:rPr>
          <w:rFonts w:ascii="Times New Roman" w:hAnsi="Times New Roman" w:eastAsia="Songti SC"/>
        </w:rPr>
        <w:t>3.1 数据生产与标准化及OISST案例</w:t>
      </w:r>
    </w:p>
    <w:p w14:paraId="256604DF">
      <w:pPr>
        <w:pStyle w:val="5"/>
      </w:pPr>
      <w:r>
        <w:rPr>
          <w:rFonts w:ascii="Times New Roman" w:hAnsi="Times New Roman" w:eastAsia="Songti SC"/>
        </w:rPr>
        <w:t>3.1.1 共享生产契约与质量控制</w:t>
      </w:r>
    </w:p>
    <w:p w14:paraId="6E70D7DE">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14:paraId="0A2E83E6">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14:paraId="32440058">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14:paraId="057F51A9">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14:paraId="2A1AF3B1">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14:paraId="4E4F24EE">
      <w:pPr>
        <w:pStyle w:val="5"/>
      </w:pPr>
      <w:r>
        <w:rPr>
          <w:rFonts w:ascii="Times New Roman" w:hAnsi="Times New Roman" w:eastAsia="Songti SC"/>
        </w:rPr>
        <w:t>3.1.2 OISST异构数据集标准化</w:t>
      </w:r>
    </w:p>
    <w:p w14:paraId="181A95D1">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14:paraId="001E8BC8">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14:paraId="31A9C136">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14:paraId="50360B89">
      <w:pPr>
        <w:pStyle w:val="4"/>
      </w:pPr>
      <w:r>
        <w:rPr>
          <w:rFonts w:ascii="Times New Roman" w:hAnsi="Times New Roman" w:eastAsia="Songti SC"/>
        </w:rPr>
        <w:t>3.2 ELEV与LAI的直接NetCDF分发效率评价</w:t>
      </w:r>
    </w:p>
    <w:p w14:paraId="44281556">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14:paraId="47047C0F">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14:paraId="105A4A41">
      <w:pPr>
        <w:pStyle w:val="4"/>
      </w:pPr>
      <w:r>
        <w:rPr>
          <w:rFonts w:ascii="Times New Roman" w:hAnsi="Times New Roman" w:eastAsia="Songti SC"/>
        </w:rPr>
        <w:t>3.3 多镜像获取与内容完整性</w:t>
      </w:r>
    </w:p>
    <w:p w14:paraId="71DD28BA">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14:paraId="38123C42">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14:paraId="5855FDC1">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14:paraId="2534F662">
      <w:pPr>
        <w:pStyle w:val="4"/>
      </w:pPr>
      <w:r>
        <w:rPr>
          <w:rFonts w:ascii="Times New Roman" w:hAnsi="Times New Roman" w:eastAsia="Songti SC"/>
        </w:rPr>
        <w:t>3.4 统一读取与模式输入组织</w:t>
      </w:r>
    </w:p>
    <w:p w14:paraId="3B768BE5">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14:paraId="1517E3C6">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14:paraId="0C9EF6B9">
      <w:pPr>
        <w:pStyle w:val="4"/>
      </w:pPr>
      <w:r>
        <w:rPr>
          <w:rFonts w:ascii="Times New Roman" w:hAnsi="Times New Roman" w:eastAsia="Songti SC"/>
        </w:rPr>
        <w:t>3.5 跨操作系统运行一致性设计</w:t>
      </w:r>
    </w:p>
    <w:p w14:paraId="2BE26683">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14:paraId="448785B0">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14:paraId="25B32D86">
      <w:pPr>
        <w:pStyle w:val="3"/>
      </w:pPr>
      <w:r>
        <w:rPr>
          <w:rFonts w:ascii="Times New Roman" w:hAnsi="Times New Roman" w:eastAsia="Songti SC"/>
        </w:rPr>
        <w:t>4 结果</w:t>
      </w:r>
    </w:p>
    <w:p w14:paraId="10C028A3">
      <w:r>
        <w:rPr>
          <w:rFonts w:ascii="Times New Roman" w:hAnsi="Times New Roman" w:eastAsia="Songti SC"/>
        </w:rPr>
        <w:t>按照表3所列评价设计，以下依次呈现标准化数据生产、直接NetCDF分发效率、多镜像获取、模式输入组织和跨操作系统运行一致性结果。</w:t>
      </w:r>
    </w:p>
    <w:p w14:paraId="3906DB90">
      <w:pPr>
        <w:pStyle w:val="4"/>
      </w:pPr>
      <w:r>
        <w:rPr>
          <w:rFonts w:ascii="Times New Roman" w:hAnsi="Times New Roman" w:eastAsia="Songti SC"/>
        </w:rPr>
        <w:t>4.1 数据生产与标准化及OISST结果</w:t>
      </w:r>
    </w:p>
    <w:p w14:paraId="6591DFE3">
      <w:pPr>
        <w:pStyle w:val="5"/>
      </w:pPr>
      <w:r>
        <w:rPr>
          <w:rFonts w:ascii="Times New Roman" w:hAnsi="Times New Roman" w:eastAsia="Songti SC"/>
        </w:rPr>
        <w:t>4.1.1 共享生产契约与质量控制结果</w:t>
      </w:r>
    </w:p>
    <w:p w14:paraId="6AA459E4">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14:paraId="2A960704">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14:paraId="5BD2D9A4">
      <w:pPr>
        <w:pStyle w:val="5"/>
      </w:pPr>
      <w:r>
        <w:rPr>
          <w:rFonts w:ascii="Times New Roman" w:hAnsi="Times New Roman" w:eastAsia="Songti SC"/>
        </w:rPr>
        <w:t>4.1.2 OISST异构数据集标准化结果</w:t>
      </w:r>
    </w:p>
    <w:p w14:paraId="45AB872B">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14:paraId="195FEB46">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14:paraId="7EF7E922">
      <w:pPr>
        <w:jc w:val="center"/>
      </w:pPr>
      <w:r>
        <w:drawing>
          <wp:inline distT="0" distB="0" distL="114300" distR="114300">
            <wp:extent cx="5399405" cy="3628390"/>
            <wp:effectExtent l="0" t="0" r="10795"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3628433"/>
                    </a:xfrm>
                    <a:prstGeom prst="rect">
                      <a:avLst/>
                    </a:prstGeom>
                  </pic:spPr>
                </pic:pic>
              </a:graphicData>
            </a:graphic>
          </wp:inline>
        </w:drawing>
      </w:r>
    </w:p>
    <w:p w14:paraId="7035494D">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14:paraId="449F3753">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14:paraId="149DED0F">
      <w:pPr>
        <w:pStyle w:val="4"/>
      </w:pPr>
      <w:r>
        <w:rPr>
          <w:rFonts w:ascii="Times New Roman" w:hAnsi="Times New Roman" w:eastAsia="Songti SC"/>
        </w:rPr>
        <w:t>4.2 ELEV与LAI的直接NetCDF分发效率</w:t>
      </w:r>
    </w:p>
    <w:p w14:paraId="27873287">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14:paraId="45537CC1">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14:paraId="51D90CAC">
      <w:pPr>
        <w:jc w:val="center"/>
      </w:pPr>
      <w:r>
        <w:drawing>
          <wp:inline distT="0" distB="0" distL="114300" distR="114300">
            <wp:extent cx="5399405" cy="2756535"/>
            <wp:effectExtent l="0" t="0" r="1079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00000" cy="2756609"/>
                    </a:xfrm>
                    <a:prstGeom prst="rect">
                      <a:avLst/>
                    </a:prstGeom>
                  </pic:spPr>
                </pic:pic>
              </a:graphicData>
            </a:graphic>
          </wp:inline>
        </w:drawing>
      </w:r>
    </w:p>
    <w:p w14:paraId="7A511B38">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14:paraId="3C15A67F">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14:paraId="082F33D9">
      <w:pPr>
        <w:pStyle w:val="4"/>
      </w:pPr>
      <w:r>
        <w:rPr>
          <w:rFonts w:ascii="Times New Roman" w:hAnsi="Times New Roman" w:eastAsia="Songti SC"/>
        </w:rPr>
        <w:t>4.3 目录管理与事务式多镜像分发</w:t>
      </w:r>
    </w:p>
    <w:p w14:paraId="1ECD1E88">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14:paraId="294784E5">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14:paraId="74DFD785">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14:paraId="2F1EFE2A">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14:paraId="41B09322">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14:paraId="31CD4B6B">
      <w:pPr>
        <w:pStyle w:val="4"/>
      </w:pPr>
      <w:r>
        <w:rPr>
          <w:rFonts w:ascii="Times New Roman" w:hAnsi="Times New Roman" w:eastAsia="Songti SC"/>
        </w:rPr>
        <w:t>4.4 统一读取与模式输入组织</w:t>
      </w:r>
    </w:p>
    <w:p w14:paraId="198C5FFE">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14:paraId="6E928100">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14:paraId="30109E20">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14:paraId="4AE5BC82">
      <w:pPr>
        <w:pStyle w:val="4"/>
      </w:pPr>
      <w:r>
        <w:rPr>
          <w:rFonts w:ascii="Times New Roman" w:hAnsi="Times New Roman" w:eastAsia="Songti SC"/>
        </w:rPr>
        <w:t>4.5 跨操作系统运行一致性结果</w:t>
      </w:r>
    </w:p>
    <w:p w14:paraId="18CB2226">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14:paraId="35B88E0C">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14:paraId="6A293793">
      <w:pPr>
        <w:pStyle w:val="3"/>
      </w:pPr>
      <w:r>
        <w:rPr>
          <w:rFonts w:ascii="Times New Roman" w:hAnsi="Times New Roman" w:eastAsia="Songti SC"/>
        </w:rPr>
        <w:t>5 讨论</w:t>
      </w:r>
    </w:p>
    <w:p w14:paraId="104CC900">
      <w:pPr>
        <w:pStyle w:val="4"/>
      </w:pPr>
      <w:r>
        <w:rPr>
          <w:rFonts w:ascii="Times New Roman" w:hAnsi="Times New Roman" w:eastAsia="Songti SC"/>
        </w:rPr>
        <w:t>5.1 相对2022版的更新与科研用途</w:t>
      </w:r>
    </w:p>
    <w:p w14:paraId="0CA5AE95">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14:paraId="13B54F9D">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14:paraId="53977555">
      <w:pPr>
        <w:pStyle w:val="4"/>
      </w:pPr>
      <w:r>
        <w:rPr>
          <w:rFonts w:ascii="Times New Roman" w:hAnsi="Times New Roman" w:eastAsia="Songti SC"/>
        </w:rPr>
        <w:t>5.2 分发效率与科学数据质量</w:t>
      </w:r>
    </w:p>
    <w:p w14:paraId="0E5991E5">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14:paraId="0E358531">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14:paraId="58420183">
      <w:pPr>
        <w:pStyle w:val="4"/>
      </w:pPr>
      <w:r>
        <w:rPr>
          <w:rFonts w:ascii="Times New Roman" w:hAnsi="Times New Roman" w:eastAsia="Songti SC"/>
        </w:rPr>
        <w:t>5.3 从标准网格数据到模式输入</w:t>
      </w:r>
    </w:p>
    <w:p w14:paraId="2FF884E4">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14:paraId="2CC5C2D2">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14:paraId="553705C4">
      <w:pPr>
        <w:pStyle w:val="4"/>
      </w:pPr>
      <w:r>
        <w:rPr>
          <w:rFonts w:ascii="Times New Roman" w:hAnsi="Times New Roman" w:eastAsia="Songti SC"/>
        </w:rPr>
        <w:t>5.4 与相关数据基础设施的关系及扩展方向</w:t>
      </w:r>
    </w:p>
    <w:p w14:paraId="02C35919">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14:paraId="5D0E7383">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14:paraId="7BD0BDB1">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14:paraId="0C465226">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14:paraId="148EEC29">
      <w:pPr>
        <w:pStyle w:val="3"/>
      </w:pPr>
      <w:r>
        <w:rPr>
          <w:rFonts w:ascii="Times New Roman" w:hAnsi="Times New Roman" w:eastAsia="Songti SC"/>
        </w:rPr>
        <w:t>6 结论</w:t>
      </w:r>
    </w:p>
    <w:p w14:paraId="6E4EC2B3">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14:paraId="7CB49493">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14:paraId="529DBF21">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14:paraId="7D32EE28">
      <w:pPr>
        <w:pStyle w:val="3"/>
      </w:pPr>
      <w:r>
        <w:rPr>
          <w:rFonts w:ascii="Times New Roman" w:hAnsi="Times New Roman" w:eastAsia="Songti SC"/>
        </w:rPr>
        <w:t>数据和代码可用性声明</w:t>
      </w:r>
    </w:p>
    <w:p w14:paraId="544FC778">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14:paraId="071230FE">
      <w:pPr>
        <w:pStyle w:val="3"/>
      </w:pPr>
      <w:r>
        <w:rPr>
          <w:rFonts w:ascii="Times New Roman" w:hAnsi="Times New Roman" w:eastAsia="Songti SC"/>
        </w:rPr>
        <w:t>基金项目</w:t>
      </w:r>
    </w:p>
    <w:p w14:paraId="4E3DB0A0">
      <w:r>
        <w:rPr>
          <w:rFonts w:ascii="Times New Roman" w:hAnsi="Times New Roman" w:eastAsia="Songti SC"/>
        </w:rPr>
        <w:t>【待作者和通讯作者补充基金项目中文/英文名称及编号；如无资助，按期刊要求声明。】</w:t>
      </w:r>
    </w:p>
    <w:p w14:paraId="22617B29">
      <w:pPr>
        <w:pStyle w:val="3"/>
      </w:pPr>
      <w:r>
        <w:rPr>
          <w:rFonts w:ascii="Times New Roman" w:hAnsi="Times New Roman" w:eastAsia="Songti SC"/>
        </w:rPr>
        <w:t>作者贡献</w:t>
      </w:r>
    </w:p>
    <w:p w14:paraId="7AAEBCAF">
      <w:r>
        <w:rPr>
          <w:rFonts w:ascii="Times New Roman" w:hAnsi="Times New Roman" w:eastAsia="Songti SC"/>
        </w:rPr>
        <w:t>姜皓：概念设计、方法设计、软件、数据整理、可视化、初稿撰写。王玉杰：概念设计、研究指导、项目管理、论文审阅与修改。</w:t>
      </w:r>
    </w:p>
    <w:p w14:paraId="5BA180CE">
      <w:pPr>
        <w:pStyle w:val="3"/>
      </w:pPr>
      <w:r>
        <w:rPr>
          <w:rFonts w:ascii="Times New Roman" w:hAnsi="Times New Roman" w:eastAsia="Songti SC"/>
        </w:rPr>
        <w:t>利益冲突声明</w:t>
      </w:r>
    </w:p>
    <w:p w14:paraId="05FFE346">
      <w:r>
        <w:rPr>
          <w:rFonts w:ascii="Times New Roman" w:hAnsi="Times New Roman" w:eastAsia="Songti SC"/>
        </w:rPr>
        <w:t>作者声明不存在利益冲突。</w:t>
      </w:r>
    </w:p>
    <w:p w14:paraId="039777D1">
      <w:pPr>
        <w:pStyle w:val="3"/>
      </w:pPr>
      <w:r>
        <w:rPr>
          <w:rFonts w:ascii="Times New Roman" w:hAnsi="Times New Roman" w:eastAsia="Songti SC"/>
        </w:rPr>
        <w:t>AI 工具使用声明</w:t>
      </w:r>
    </w:p>
    <w:p w14:paraId="7A1944DC">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14:paraId="290A0158">
      <w:pPr>
        <w:pStyle w:val="3"/>
      </w:pPr>
      <w:r>
        <w:rPr>
          <w:rFonts w:ascii="Times New Roman" w:hAnsi="Times New Roman" w:eastAsia="Songti SC"/>
        </w:rPr>
        <w:t>参考文献</w:t>
      </w:r>
    </w:p>
    <w:p w14:paraId="66CBF93C">
      <w:r>
        <w:rPr>
          <w:rFonts w:ascii="Times New Roman" w:hAnsi="Times New Roman" w:eastAsia="Songti SC"/>
        </w:rPr>
        <w:t>[1] WILKINSON M D, DUMONTIER M, AALBERSBERG I J, et al. The FAIR Guiding Principles for scientific data management and stewardship[J]. Scientific Data, 2016, 3: 160018. DOI: 10.1038/sdata.2016.18.</w:t>
      </w:r>
    </w:p>
    <w:p w14:paraId="1F7EE81C">
      <w:r>
        <w:rPr>
          <w:rFonts w:ascii="Times New Roman" w:hAnsi="Times New Roman" w:eastAsia="Songti SC"/>
        </w:rPr>
        <w:t>[2] CF CONVENTIONS COMMITTEE. CF Metadata Conventions[EB/OL]. [2026-08-07]. https://cfconventions.org/.</w:t>
      </w:r>
    </w:p>
    <w:p w14:paraId="419BFC94">
      <w:r>
        <w:rPr>
          <w:rFonts w:ascii="Times New Roman" w:hAnsi="Times New Roman" w:eastAsia="Songti SC"/>
        </w:rPr>
        <w:t>[3] GORELICK N, HANCHER M, DIXON M, et al. Google Earth Engine: Planetary-scale geospatial analysis for everyone[J]. Remote Sensing of Environment, 2017, 202: 18-27. DOI: 10.1016/j.rse.2017.06.031.</w:t>
      </w:r>
    </w:p>
    <w:p w14:paraId="3294F74C">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14:paraId="41DBF4DC">
      <w:r>
        <w:rPr>
          <w:rFonts w:ascii="Times New Roman" w:hAnsi="Times New Roman" w:eastAsia="Songti SC"/>
        </w:rPr>
        <w:t>[5] REW R, DAVIS G. NetCDF: An interface for scientific data access[J]. IEEE Computer Graphics and Applications, 1990, 10(4): 76-82. DOI: 10.1109/38.56302.</w:t>
      </w:r>
    </w:p>
    <w:p w14:paraId="160889AC">
      <w:r>
        <w:rPr>
          <w:rFonts w:ascii="Times New Roman" w:hAnsi="Times New Roman" w:eastAsia="Songti SC"/>
        </w:rPr>
        <w:t>[6] HERSBACH H, BELL B, BERRISFORD P, et al. The ERA5 global reanalysis[J]. Quarterly Journal of the Royal Meteorological Society, 2020, 146(730): 1999-2049. DOI: 10.1002/qj.3803.</w:t>
      </w:r>
    </w:p>
    <w:p w14:paraId="7B4B4504">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14:paraId="7414CC9B">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14:paraId="13B202C5">
      <w:r>
        <w:rPr>
          <w:rFonts w:ascii="Times New Roman" w:hAnsi="Times New Roman" w:eastAsia="Songti SC"/>
        </w:rPr>
        <w:t>[9] MAHECHA M D, GANS F, BRANDT G, et al. Earth system data cubes unravel global multivariate dynamics[J]. Earth System Dynamics, 2020, 11: 201-234. DOI: 10.5194/esd-11-201-2020.</w:t>
      </w:r>
    </w:p>
    <w:p w14:paraId="0D848FC7">
      <w:r>
        <w:rPr>
          <w:rFonts w:ascii="Times New Roman" w:hAnsi="Times New Roman" w:eastAsia="Songti SC"/>
        </w:rPr>
        <w:t>[10] BEZANSON J, EDELMAN A, KARPINSKI S, et al. Julia: A fresh approach to numerical computing[J]. SIAM Review, 2017, 59(1): 65-98. DOI: 10.1137/141000671.</w:t>
      </w:r>
    </w:p>
    <w:p w14:paraId="44A6F0F9">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14:paraId="1427D2B6">
      <w:r>
        <w:rPr>
          <w:rFonts w:ascii="Times New Roman" w:hAnsi="Times New Roman" w:eastAsia="Songti SC"/>
        </w:rPr>
        <w:t>[12] ABERNATHEY R P, AUGSPURGER T, BANIHIRWE A, et al. Cloud-native repositories for big scientific data[J]. Computing in Science &amp; Engineering, 2021, 23(2): 26-35. DOI: 10.1109/MCSE.2021.3059437.</w:t>
      </w:r>
    </w:p>
    <w:p w14:paraId="335207C1">
      <w:r>
        <w:rPr>
          <w:rFonts w:ascii="Times New Roman" w:hAnsi="Times New Roman" w:eastAsia="Songti SC"/>
        </w:rPr>
        <w:t>[13] STERN C, ABERNATHEY R, HAMMAN J, et al. Pangeo Forge: Crowdsourcing analysis-ready, cloud optimized data production[J]. Frontiers in Climate, 2022, 3: 782909. DOI: 10.3389/fclim.2021.782909.</w:t>
      </w:r>
    </w:p>
    <w:p w14:paraId="6452B6C7">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14:paraId="69E81285">
      <w:r>
        <w:rPr>
          <w:rFonts w:ascii="Times New Roman" w:hAnsi="Times New Roman" w:eastAsia="Songti SC"/>
        </w:rPr>
        <w:t>[15] UIEDA L, SOLER S R, RAMPIN R, et al. Pooch: A friend to fetch your data files[J]. Journal of Open Source Software, 2020, 5(45): 1943. DOI: 10.21105/joss.01943.</w:t>
      </w:r>
    </w:p>
    <w:p w14:paraId="5CEDFD1C">
      <w:r>
        <w:rPr>
          <w:rFonts w:ascii="Times New Roman" w:hAnsi="Times New Roman" w:eastAsia="Songti SC"/>
        </w:rPr>
        <w:t>[16] OPEN GEOSPATIAL CONSORTIUM. SpatioTemporal Asset Catalog (STAC) Community Standard, Version 1.1.0[S/OL]. OGC 25-004, 2025[2026-08-15]. https://www.ogc.org/standards/stac/.</w:t>
      </w:r>
    </w:p>
    <w:p w14:paraId="382E041A">
      <w:r>
        <w:rPr>
          <w:rFonts w:ascii="Times New Roman" w:hAnsi="Times New Roman" w:eastAsia="Songti SC"/>
        </w:rPr>
        <w:t>[17] SMITH A M, KATZ D S, NIEMEYER K E, et al. Software citation principles[J]. PeerJ Computer Science, 2016, 2: e86. DOI: 10.7717/peerj-cs.86.</w:t>
      </w:r>
    </w:p>
    <w:p w14:paraId="4894DFB8">
      <w:r>
        <w:rPr>
          <w:rFonts w:ascii="Times New Roman" w:hAnsi="Times New Roman" w:eastAsia="Songti SC"/>
        </w:rPr>
        <w:t>[18] BARKER M, CHUE HONG N P, KATZ D S, et al. Introducing the FAIR Principles for research software[J]. Scientific Data, 2022, 9: 622. DOI: 10.1038/s41597-022-01710-x.</w:t>
      </w:r>
    </w:p>
    <w:p w14:paraId="3016050E">
      <w:r>
        <w:rPr>
          <w:rFonts w:ascii="Times New Roman" w:hAnsi="Times New Roman" w:eastAsia="Songti SC"/>
        </w:rPr>
        <w:t>[19] LIN D, CRABTREE J, DILLO I, et al. The TRUST Principles for digital repositories[J]. Scientific Data, 2020, 7: 144. DOI: 10.1038/s41597-020-0486-7.</w:t>
      </w:r>
    </w:p>
    <w:p w14:paraId="0BCBE703">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pgSz w:w="11906" w:h="16838"/>
      <w:pgMar w:top="1440" w:right="1474" w:bottom="1440"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Songti SC">
    <w:altName w:val="FFont-Family"/>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242C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20"/>
    </w:pPr>
    <w:rPr>
      <w:rFonts w:ascii="Times New Roman" w:hAnsi="Times New Roman" w:eastAsia="Songti SC" w:cstheme="minorBidi"/>
      <w:sz w:val="21"/>
      <w:szCs w:val="22"/>
      <w:lang w:val="en-US" w:eastAsia="en-US" w:bidi="ar-SA"/>
    </w:rPr>
  </w:style>
  <w:style w:type="paragraph" w:styleId="3">
    <w:name w:val="heading 1"/>
    <w:basedOn w:val="1"/>
    <w:next w:val="1"/>
    <w:link w:val="138"/>
    <w:qFormat/>
    <w:uiPriority w:val="9"/>
    <w:pPr>
      <w:keepNext/>
      <w:keepLines/>
      <w:spacing w:before="480" w:after="0"/>
      <w:ind w:firstLine="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39"/>
    <w:unhideWhenUsed/>
    <w:qFormat/>
    <w:uiPriority w:val="9"/>
    <w:pPr>
      <w:keepNext/>
      <w:keepLines/>
      <w:spacing w:before="200" w:after="0"/>
      <w:ind w:firstLine="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ind w:firstLine="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ind w:firstLine="0"/>
      <w:contextualSpacing/>
    </w:pPr>
    <w:rPr>
      <w:rFonts w:asciiTheme="majorHAnsi" w:hAnsiTheme="majorHAnsi" w:eastAsiaTheme="majorEastAsia" w:cstheme="majorBidi"/>
      <w:color w:val="17375E" w:themeColor="text2" w:themeShade="BF"/>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1079</Words>
  <Characters>2451</Characters>
  <Lines>0</Lines>
  <Paragraphs>0</Paragraphs>
  <TotalTime>0</TotalTime>
  <ScaleCrop>false</ScaleCrop>
  <LinksUpToDate>false</LinksUpToDate>
  <CharactersWithSpaces>2651</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Hao Jiang; Yujie Wang</dc:creator>
  <dc:description>generated by python-docx</dc:description>
  <cp:lastModifiedBy>姜皓</cp:lastModifiedBy>
  <dcterms:modified xsi:type="dcterms:W3CDTF">2026-09-13T12:56:54Z</dcterms:modified>
  <dc:subject>导师审阅版，由Markdown源稿自动生成</dc:subject>
  <dc:title>面向地球系统模式的全球网格数据库：GriddingMachine框架更新与应用</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eyJoZGlkIjoiMDBkYmIxMWI1YjBkMzVkODA5M2NhNzE3ZDA2ZTExZmMiLCJ1c2VySWQiOiIxODI0MjQ4NzA0In0=</vt:lpwstr>
  </property>
  <property fmtid="{D5CDD505-2E9C-101B-9397-08002B2CF9AE}" pid="3" name="KSOProductBuildVer">
    <vt:lpwstr>2052-12.1.0.28022</vt:lpwstr>
  </property>
  <property fmtid="{D5CDD505-2E9C-101B-9397-08002B2CF9AE}" pid="4" name="ICV">
    <vt:lpwstr>B303B66AEC0F48EBBFA4B4531C5E73C4_12</vt:lpwstr>
  </property>
</Properties>
</file>