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r>
        <w:rPr>
          <w:rFonts w:ascii="Times New Roman" w:hAnsi="Times New Roman" w:eastAsia="Songti SC"/>
        </w:rPr>
        <w:t>1. 中国科学技术大学地球和空间科学学院，安徽 合肥 230026</w:t>
      </w:r>
    </w:p>
    <w:p>
      <w:r>
        <w:rPr>
          <w:rFonts w:ascii="Times New Roman" w:hAnsi="Times New Roman" w:eastAsia="Songti SC"/>
        </w:rPr>
        <w:t>姜皓，E-mail：hao.jiang@mail.ustc.edu.cn；ORCID：https://orcid.org/0009-0009-8295-8661</w:t>
      </w:r>
    </w:p>
    <w:p>
      <w:r>
        <w:rPr>
          <w:rFonts w:ascii="Times New Roman" w:hAnsi="Times New Roman" w:eastAsia="Songti SC"/>
        </w:rPr>
        <w:t>\* 通讯作者：王玉杰，wyujie@ustc.edu.cn</w:t>
      </w:r>
    </w:p>
    <w:p>
      <w:pPr>
        <w:pStyle w:val="Heading1"/>
      </w:pPr>
      <w:r>
        <w:rPr>
          <w:rFonts w:ascii="Times New Roman" w:hAnsi="Times New Roman" w:eastAsia="Songti SC"/>
        </w:rPr>
        <w:t>摘要</w:t>
      </w:r>
    </w:p>
    <w:p>
      <w:r>
        <w:rPr>
          <w:rFonts w:ascii="Times New Roman" w:hAnsi="Times New Roman" w:eastAsia="Songti SC"/>
        </w:rPr>
        <w:t>地球系统模式依赖区域至全球尺度的网格数据进行参数初始化及结果验证。尽管当前数据大多已采用NetCDF、HDF、GeoTIFF等标准格式，源数据处理规则、单位换算、标准数据标识和网络分发方式不同等问题，使得每个模式不得不单独维护数据库，给模式持续更新和验证带来不必要的困难。本文在2022版GriddingMachine基础上，在数据预处理、数据分发及数据读取方面做出优化：增加数据处理标准化流程，改进数据文件分发方式，完善数据目录与模式输入组织，并增加真实异构数据的标准化处理案例，完善数据集的组织与应用。除Julia语言外，还完善了Matlab、Octave、Python和R语言对新版数据的自动下载支持，并添加了C语言和Fortran语言的自动下载支持，以更好地服务科学研究与应用。</w:t>
      </w:r>
    </w:p>
    <w:p>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JIANG^1, Yujie WANG^1\</w:t>
      </w:r>
      <w:r>
        <w:rPr>
          <w:rFonts w:ascii="Times New Roman" w:hAnsi="Times New Roman" w:eastAsia="Songti SC"/>
        </w:rPr>
        <w:t>*</w:t>
      </w:r>
    </w:p>
    <w:p>
      <w:r>
        <w:rPr>
          <w:rFonts w:ascii="Times New Roman" w:hAnsi="Times New Roman" w:eastAsia="Songti SC"/>
        </w:rPr>
        <w:t>1. School of Earth and Space Sciences, University of Science and Technology of China, Hefei 230026, China</w:t>
      </w:r>
    </w:p>
    <w:p>
      <w:r>
        <w:rPr>
          <w:rFonts w:ascii="Times New Roman" w:hAnsi="Times New Roman" w:eastAsia="Songti SC"/>
        </w:rPr>
        <w:t>Hao Jiang, E-mail: hao.jiang@mail.ustc.edu.cn; ORCID: https://orcid.org/0009-0009-8295-8661</w:t>
      </w:r>
    </w:p>
    <w:p>
      <w:r>
        <w:rPr>
          <w:rFonts w:ascii="Times New Roman" w:hAnsi="Times New Roman" w:eastAsia="Songti SC"/>
        </w:rPr>
        <w:t>\* Corresponding author: Yujie Wang, wyujie@ustc.edu.cn</w:t>
      </w:r>
    </w:p>
    <w:p>
      <w:pPr>
        <w:pStyle w:val="Heading1"/>
      </w:pPr>
      <w:r>
        <w:rPr>
          <w:rFonts w:ascii="Times New Roman" w:hAnsi="Times New Roman" w:eastAsia="Songti SC"/>
        </w:rPr>
        <w:t>Abstract</w:t>
      </w:r>
    </w:p>
    <w:p>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each model to maintain its own database, creating unnecessary difficulties for continued model development and evaluation. Building on the 2022 release of GriddingMachine, this study improves data preprocessing, distribution, and data reading by introducing a standardized processing workflow, improving data-file distribution, strengthening catalog and model-input organization, and adding a real heterogeneous-data standardization case while improving dataset organization and application. In addition to Julia, automatic downloading of the updated data is supported in MATLAB, Octave, Python, and R, with new automatic-download entry points for C and Fortran, to better serve scientific research and applications.</w:t>
      </w:r>
    </w:p>
    <w:p>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pPr>
        <w:pStyle w:val="Heading1"/>
      </w:pPr>
      <w:r>
        <w:rPr>
          <w:rFonts w:ascii="Times New Roman" w:hAnsi="Times New Roman" w:eastAsia="Songti SC"/>
        </w:rPr>
        <w:t>1 引言</w:t>
      </w:r>
    </w:p>
    <w:p>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原则[1]。NetCDF具有自描述、跨系统和适合多维数组等特点，便于保存多维网格及其坐标信息[2]。Google Earth Engine等云平台通过改善数据表达、发现、访问及计算，提升了大尺度地学数据的访问和分析能力[3]。然而，对于面向固定版本、离线缓存和模式直接调用的工作流，研究人员仍需要把数据转换规则、标准数据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rPr>
        <w:t>Wang等[4]于2022年发布了基于Julia语言的GriddingMachine数据库和软件，旨在将常用于陆面和地球系统模拟的全球数据处理为具有统一空间和变量约定的NetCDF文件，并通过标签、数据库文件Artifacts.toml和Julia语言的 artifact 机制（构建产物管理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rPr>
        <w:t>本文在 2022 版 GriddingMachine 基础上，更新数据预处理、数据分发和数据读取流程，形成数据生产与标准化、数据目录与获取、模式输入组织三个相互衔接的环节。数据生产与标准化层以共享 YAML 配置规范表达源维度、坐标、数值变换和缺失值填补（gap filling）及质量控制；数据目录与获取层以逻辑标签连接数据副本，并对登记了文件字节数和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rPr>
        <w:t>2 框架设计与关键方法</w:t>
      </w:r>
    </w:p>
    <w:p>
      <w:pPr>
        <w:pStyle w:val="Heading2"/>
      </w:pPr>
      <w:r>
        <w:rPr>
          <w:rFonts w:ascii="Times New Roman" w:hAnsi="Times New Roman" w:eastAsia="Songti SC"/>
        </w:rPr>
        <w:t>2.1 总体架构与数据流程</w:t>
      </w:r>
    </w:p>
    <w:p>
      <w:r>
        <w:rPr>
          <w:rFonts w:ascii="Times New Roman" w:hAnsi="Times New Roman" w:eastAsia="Songti SC"/>
        </w:rPr>
        <w:t>GriddingMachine新版由三个相互衔接的数据流程环节构成（图1）：数据生产与标准化层负责把来源、结构和数值约定不同的全球网格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承担。三层共同形成从生产、质控、发布、发现、下载、读取到模式调用的完整数据流程，其中各层通过标准NetCDF和稳定标签衔接，同时保留独立演化的维护边界。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GriddingMachine从2022版基线到新版数据流程的架构更新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文件、包内数据目录和读取函数</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workflow.</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archive files,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files, independent catalog evolution, transactional acquisition, and Earth-system-model-ready interfaces. Orange dashed lines map these updates to the corresponding baseline components and core nodes in the updated workflow.</w:t>
      </w:r>
    </w:p>
    <w:p>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流程”描述这一从源数据整理到模式调用的连续过程。</w:t>
      </w:r>
    </w:p>
    <w:p>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rPr>
        <w:t>表1概括2022版与新版的主要差异及其在数据流程中的作用。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对科研流程的作用</w:t>
            </w:r>
          </w:p>
        </w:tc>
      </w:tr>
      <w:tr>
        <w:tc>
          <w:tcPr>
            <w:tcW w:type="dxa" w:w="2211"/>
          </w:tcPr>
          <w:p>
            <w:r>
              <w:rPr>
                <w:sz w:val="18"/>
              </w:rPr>
            </w:r>
            <w:r>
              <w:rPr>
                <w:rFonts w:ascii="Times New Roman" w:hAnsi="Times New Roman" w:eastAsia="Songti SC"/>
                <w:sz w:val="18"/>
              </w:rPr>
              <w:t>分发单元</w:t>
            </w:r>
          </w:p>
        </w:tc>
        <w:tc>
          <w:tcPr>
            <w:tcW w:type="dxa" w:w="2211"/>
          </w:tcPr>
          <w:p>
            <w:r>
              <w:rPr>
                <w:sz w:val="18"/>
              </w:rPr>
            </w:r>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归档文件</w:t>
            </w:r>
          </w:p>
        </w:tc>
        <w:tc>
          <w:tcPr>
            <w:tcW w:type="dxa" w:w="2211"/>
          </w:tcPr>
          <w:p>
            <w:r>
              <w:rPr>
                <w:sz w:val="18"/>
              </w:rPr>
            </w:r>
            <w:r>
              <w:rPr>
                <w:rFonts w:ascii="Times New Roman" w:hAnsi="Times New Roman" w:eastAsia="Songti SC"/>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sz w:val="18"/>
              </w:rPr>
              <w:t>简化数据获取并降低端到端读取时间</w:t>
            </w:r>
          </w:p>
        </w:tc>
      </w:tr>
      <w:tr>
        <w:tc>
          <w:tcPr>
            <w:tcW w:type="dxa" w:w="2211"/>
          </w:tcPr>
          <w:p>
            <w:r>
              <w:rPr>
                <w:sz w:val="18"/>
              </w:rPr>
            </w:r>
            <w:r>
              <w:rPr>
                <w:rFonts w:ascii="Times New Roman" w:hAnsi="Times New Roman" w:eastAsia="Songti SC"/>
                <w:sz w:val="18"/>
              </w:rPr>
              <w:t>数据目录</w:t>
            </w:r>
          </w:p>
        </w:tc>
        <w:tc>
          <w:tcPr>
            <w:tcW w:type="dxa" w:w="2211"/>
          </w:tcPr>
          <w:p>
            <w:r>
              <w:rPr>
                <w:sz w:val="18"/>
              </w:rPr>
            </w:r>
            <w:r>
              <w:rPr>
                <w:rFonts w:ascii="Times New Roman" w:hAnsi="Times New Roman" w:eastAsia="Songti SC"/>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，支持目录校验和独立更新</w:t>
            </w:r>
          </w:p>
        </w:tc>
        <w:tc>
          <w:tcPr>
            <w:tcW w:type="dxa" w:w="2211"/>
          </w:tcPr>
          <w:p>
            <w:r>
              <w:rPr>
                <w:sz w:val="18"/>
              </w:rPr>
            </w:r>
            <w:r>
              <w:rPr>
                <w:rFonts w:ascii="Times New Roman" w:hAnsi="Times New Roman" w:eastAsia="Songti SC"/>
                <w:sz w:val="18"/>
              </w:rPr>
              <w:t>数据目录可独立于软件版本维护</w:t>
            </w:r>
          </w:p>
        </w:tc>
      </w:tr>
      <w:tr>
        <w:tc>
          <w:tcPr>
            <w:tcW w:type="dxa" w:w="2211"/>
          </w:tcPr>
          <w:p>
            <w:r>
              <w:rPr>
                <w:sz w:val="18"/>
              </w:rPr>
            </w:r>
            <w:r>
              <w:rPr>
                <w:rFonts w:ascii="Times New Roman" w:hAnsi="Times New Roman" w:eastAsia="Songti SC"/>
                <w:sz w:val="18"/>
              </w:rPr>
              <w:t>数据获取</w:t>
            </w:r>
          </w:p>
        </w:tc>
        <w:tc>
          <w:tcPr>
            <w:tcW w:type="dxa" w:w="2211"/>
          </w:tcPr>
          <w:p>
            <w:r>
              <w:rPr>
                <w:sz w:val="18"/>
              </w:rPr>
            </w:r>
            <w:r>
              <w:rPr>
                <w:rFonts w:ascii="Times New Roman" w:hAnsi="Times New Roman" w:eastAsia="Songti SC"/>
                <w:sz w:val="18"/>
              </w:rPr>
              <w:t>artifact 哈希寻址、多个 URL 和解包</w:t>
            </w:r>
          </w:p>
        </w:tc>
        <w:tc>
          <w:tcPr>
            <w:tcW w:type="dxa" w:w="2211"/>
          </w:tcPr>
          <w:p>
            <w:r>
              <w:rPr>
                <w:sz w:val="18"/>
              </w:rPr>
            </w:r>
            <w:r>
              <w:rPr>
                <w:rFonts w:ascii="Times New Roman" w:hAnsi="Times New Roman" w:eastAsia="Songti SC"/>
                <w:sz w:val="18"/>
              </w:rPr>
              <w:t>多镜像回退、临时文件下载和完整性校验</w:t>
            </w:r>
          </w:p>
        </w:tc>
        <w:tc>
          <w:tcPr>
            <w:tcW w:type="dxa" w:w="2211"/>
          </w:tcPr>
          <w:p>
            <w:r>
              <w:rPr>
                <w:sz w:val="18"/>
              </w:rPr>
            </w:r>
            <w:r>
              <w:rPr>
                <w:rFonts w:ascii="Times New Roman" w:hAnsi="Times New Roman" w:eastAsia="Songti SC"/>
                <w:sz w:val="18"/>
              </w:rPr>
              <w:t>提高数据获取的可靠性和可追溯性</w:t>
            </w:r>
          </w:p>
        </w:tc>
      </w:tr>
      <w:tr>
        <w:tc>
          <w:tcPr>
            <w:tcW w:type="dxa" w:w="2211"/>
          </w:tcPr>
          <w:p>
            <w:r>
              <w:rPr>
                <w:sz w:val="18"/>
              </w:rPr>
            </w:r>
            <w:r>
              <w:rPr>
                <w:rFonts w:ascii="Times New Roman" w:hAnsi="Times New Roman" w:eastAsia="Songti SC"/>
                <w:sz w:val="18"/>
              </w:rPr>
              <w:t>数据读取接口</w:t>
            </w:r>
          </w:p>
        </w:tc>
        <w:tc>
          <w:tcPr>
            <w:tcW w:type="dxa" w:w="2211"/>
          </w:tcPr>
          <w:p>
            <w:r>
              <w:rPr>
                <w:sz w:val="18"/>
              </w:rPr>
            </w:r>
            <w:r>
              <w:rPr>
                <w:rFonts w:ascii="Times New Roman" w:hAnsi="Times New Roman" w:eastAsia="Songti SC"/>
                <w:sz w:val="18"/>
              </w:rPr>
              <w:t>以</w:t>
            </w:r>
            <w:r>
              <w:rPr>
                <w:rFonts w:ascii="Consolas" w:hAnsi="Consolas" w:eastAsia="Songti SC"/>
                <w:sz w:val="18"/>
              </w:rPr>
              <w:t>read_LUT</w:t>
            </w:r>
            <w:r>
              <w:rPr>
                <w:rFonts w:ascii="Times New Roman" w:hAnsi="Times New Roman" w:eastAsia="Songti SC"/>
                <w:sz w:val="18"/>
              </w:rPr>
              <w:t>读取已登记数据</w:t>
            </w:r>
          </w:p>
        </w:tc>
        <w:tc>
          <w:tcPr>
            <w:tcW w:type="dxa" w:w="2211"/>
          </w:tcPr>
          <w:p>
            <w:r>
              <w:rPr>
                <w:sz w:val="18"/>
              </w:rPr>
            </w:r>
            <w:r>
              <w:rPr>
                <w:rFonts w:ascii="Times New Roman" w:hAnsi="Times New Roman" w:eastAsia="Songti SC"/>
                <w:sz w:val="18"/>
              </w:rPr>
              <w:t>以</w:t>
            </w:r>
            <w:r>
              <w:rPr>
                <w:rFonts w:ascii="Consolas" w:hAnsi="Consolas" w:eastAsia="Songti SC"/>
                <w:sz w:val="18"/>
              </w:rPr>
              <w:t>read_dataset</w:t>
            </w:r>
            <w:r>
              <w:rPr>
                <w:rFonts w:ascii="Times New Roman" w:hAnsi="Times New Roman" w:eastAsia="Songti SC"/>
                <w:sz w:val="18"/>
              </w:rPr>
              <w:t>统一整场、周期和格点读取，并保留旧名称别名</w:t>
            </w:r>
          </w:p>
        </w:tc>
        <w:tc>
          <w:tcPr>
            <w:tcW w:type="dxa" w:w="2211"/>
          </w:tcPr>
          <w:p>
            <w:r>
              <w:rPr>
                <w:sz w:val="18"/>
              </w:rPr>
            </w:r>
            <w:r>
              <w:rPr>
                <w:rFonts w:ascii="Times New Roman" w:hAnsi="Times New Roman" w:eastAsia="Songti SC"/>
                <w:sz w:val="18"/>
              </w:rPr>
              <w:t>统一数据发现、读取和模式输入组织，降低旧接口迁移成本</w:t>
            </w:r>
          </w:p>
        </w:tc>
      </w:tr>
      <w:tr>
        <w:tc>
          <w:tcPr>
            <w:tcW w:type="dxa" w:w="2211"/>
          </w:tcPr>
          <w:p>
            <w:r>
              <w:rPr>
                <w:sz w:val="18"/>
              </w:rPr>
            </w:r>
            <w:r>
              <w:rPr>
                <w:rFonts w:ascii="Times New Roman" w:hAnsi="Times New Roman" w:eastAsia="Songti SC"/>
                <w:sz w:val="18"/>
              </w:rPr>
              <w:t>多语言访问</w:t>
            </w:r>
          </w:p>
        </w:tc>
        <w:tc>
          <w:tcPr>
            <w:tcW w:type="dxa" w:w="2211"/>
          </w:tcPr>
          <w:p>
            <w:r>
              <w:rPr>
                <w:sz w:val="18"/>
              </w:rPr>
            </w:r>
            <w:r>
              <w:rPr>
                <w:rFonts w:ascii="Times New Roman" w:hAnsi="Times New Roman" w:eastAsia="Songti SC"/>
                <w:sz w:val="18"/>
              </w:rPr>
              <w:t>提供Julia、Matlab、Octave、Python和R接口</w:t>
            </w:r>
          </w:p>
        </w:tc>
        <w:tc>
          <w:tcPr>
            <w:tcW w:type="dxa" w:w="2211"/>
          </w:tcPr>
          <w:p>
            <w:r>
              <w:rPr>
                <w:sz w:val="18"/>
              </w:rPr>
            </w:r>
            <w:r>
              <w:rPr>
                <w:rFonts w:ascii="Times New Roman" w:hAnsi="Times New Roman" w:eastAsia="Songti SC"/>
                <w:sz w:val="18"/>
              </w:rPr>
              <w:t>在保留原有接口的基础上完善Matlab、Octave、Python和R自动下载，并新增C和Fortran自动下载入口</w:t>
            </w:r>
          </w:p>
        </w:tc>
        <w:tc>
          <w:tcPr>
            <w:tcW w:type="dxa" w:w="2211"/>
          </w:tcPr>
          <w:p>
            <w:r>
              <w:rPr>
                <w:sz w:val="18"/>
              </w:rPr>
            </w:r>
            <w:r>
              <w:rPr>
                <w:rFonts w:ascii="Times New Roman" w:hAnsi="Times New Roman" w:eastAsia="Songti SC"/>
                <w:sz w:val="18"/>
              </w:rPr>
              <w:t>扩展科研人员获取新版网格数据的编程环境</w:t>
            </w:r>
          </w:p>
        </w:tc>
      </w:tr>
      <w:tr>
        <w:tc>
          <w:tcPr>
            <w:tcW w:type="dxa" w:w="2211"/>
          </w:tcPr>
          <w:p>
            <w:r>
              <w:rPr>
                <w:sz w:val="18"/>
              </w:rPr>
            </w:r>
            <w:r>
              <w:rPr>
                <w:rFonts w:ascii="Times New Roman" w:hAnsi="Times New Roman" w:eastAsia="Songti SC"/>
                <w:sz w:val="18"/>
              </w:rPr>
              <w:t>模式组织</w:t>
            </w:r>
          </w:p>
        </w:tc>
        <w:tc>
          <w:tcPr>
            <w:tcW w:type="dxa" w:w="2211"/>
          </w:tcPr>
          <w:p>
            <w:r>
              <w:rPr>
                <w:sz w:val="18"/>
              </w:rPr>
            </w:r>
            <w:r>
              <w:rPr>
                <w:rFonts w:ascii="Times New Roman" w:hAnsi="Times New Roman" w:eastAsia="Songti SC"/>
                <w:sz w:val="18"/>
              </w:rPr>
              <w:t>标准化数据和通用读取</w:t>
            </w:r>
          </w:p>
        </w:tc>
        <w:tc>
          <w:tcPr>
            <w:tcW w:type="dxa" w:w="2211"/>
          </w:tcPr>
          <w:p>
            <w:r>
              <w:rPr>
                <w:sz w:val="18"/>
              </w:rPr>
            </w:r>
            <w:r>
              <w:rPr>
                <w:rFonts w:ascii="Times New Roman" w:hAnsi="Times New Roman" w:eastAsia="Songti SC"/>
                <w:sz w:val="18"/>
              </w:rPr>
              <w:t>陆面参数融合与气象驱动组织</w:t>
            </w:r>
          </w:p>
        </w:tc>
        <w:tc>
          <w:tcPr>
            <w:tcW w:type="dxa" w:w="2211"/>
          </w:tcPr>
          <w:p>
            <w:r>
              <w:rPr>
                <w:sz w:val="18"/>
              </w:rPr>
            </w:r>
            <w:r>
              <w:rPr>
                <w:rFonts w:ascii="Times New Roman" w:hAnsi="Times New Roman" w:eastAsia="Songti SC"/>
                <w:sz w:val="18"/>
              </w:rPr>
              <w:t>标准化数据进入Emerald参数组织与模式初始化</w:t>
            </w:r>
          </w:p>
        </w:tc>
      </w:tr>
      <w:tr>
        <w:tc>
          <w:tcPr>
            <w:tcW w:type="dxa" w:w="2211"/>
          </w:tcPr>
          <w:p>
            <w:r>
              <w:rPr>
                <w:sz w:val="18"/>
              </w:rPr>
            </w:r>
            <w:r>
              <w:rPr>
                <w:rFonts w:ascii="Times New Roman" w:hAnsi="Times New Roman" w:eastAsia="Songti SC"/>
                <w:sz w:val="18"/>
              </w:rPr>
              <w:t>数据生产</w:t>
            </w:r>
          </w:p>
        </w:tc>
        <w:tc>
          <w:tcPr>
            <w:tcW w:type="dxa" w:w="2211"/>
          </w:tcPr>
          <w:p>
            <w:r>
              <w:rPr>
                <w:sz w:val="18"/>
              </w:rPr>
            </w:r>
            <w:r>
              <w:rPr>
                <w:rFonts w:ascii="Times New Roman" w:hAnsi="Times New Roman" w:eastAsia="Songti SC"/>
                <w:sz w:val="18"/>
              </w:rPr>
              <w:t>数据源专用处理及贡献流程</w:t>
            </w:r>
          </w:p>
        </w:tc>
        <w:tc>
          <w:tcPr>
            <w:tcW w:type="dxa" w:w="2211"/>
          </w:tcPr>
          <w:p>
            <w:r>
              <w:rPr>
                <w:sz w:val="18"/>
              </w:rPr>
            </w:r>
            <w:r>
              <w:rPr>
                <w:rFonts w:ascii="Times New Roman" w:hAnsi="Times New Roman" w:eastAsia="Songti SC"/>
                <w:sz w:val="18"/>
              </w:rPr>
              <w:t>共享YAML配置规范、程序化与交互式配置生成及显式源维度映射</w:t>
            </w:r>
          </w:p>
        </w:tc>
        <w:tc>
          <w:tcPr>
            <w:tcW w:type="dxa" w:w="2211"/>
          </w:tcPr>
          <w:p>
            <w:r>
              <w:rPr>
                <w:sz w:val="18"/>
              </w:rPr>
            </w:r>
            <w:r>
              <w:rPr>
                <w:rFonts w:ascii="Times New Roman" w:hAnsi="Times New Roman" w:eastAsia="Songti SC"/>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changes, and their implications for scientific data use across the data lifecycle.</w:t>
      </w:r>
    </w:p>
    <w:p>
      <w:pPr>
        <w:pStyle w:val="Heading2"/>
      </w:pPr>
      <w:r>
        <w:rPr>
          <w:rFonts w:ascii="Times New Roman" w:hAnsi="Times New Roman" w:eastAsia="Songti SC"/>
        </w:rPr>
        <w:t>2.2 YAML驱动的数据生产与标准化</w:t>
      </w:r>
    </w:p>
    <w:p>
      <w:pPr>
        <w:pStyle w:val="Heading3"/>
      </w:pPr>
      <w:r>
        <w:rPr>
          <w:rFonts w:ascii="Times New Roman" w:hAnsi="Times New Roman" w:eastAsia="Songti SC"/>
        </w:rPr>
        <w:t>2.2.1 数据契约与维度映射</w:t>
      </w:r>
    </w:p>
    <w:p>
      <w:r>
        <w:rPr>
          <w:rFonts w:ascii="Times New Roman" w:hAnsi="Times New Roman" w:eastAsia="Songti SC"/>
        </w:rPr>
        <w:t xml:space="preserve">GriddingMachine采用NetCDF格式组织多维数组、坐标和自描述元数据，便于不同地球科学软件读取[5]。2022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[4]。新版延续这些核心约定，并将源维度映射、处理记录、版本化配置和分发完整性纳入相互衔接的机器可读规范（表2）。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sz w:val="18"/>
              </w:rPr>
              <w:t>文件与网格</w:t>
            </w:r>
          </w:p>
        </w:tc>
        <w:tc>
          <w:tcPr>
            <w:tcW w:type="dxa" w:w="2948"/>
          </w:tcPr>
          <w:p>
            <w:r>
              <w:rPr>
                <w:sz w:val="18"/>
              </w:rPr>
            </w:r>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type="dxa" w:w="2948"/>
          </w:tcPr>
          <w:p>
            <w:r>
              <w:rPr>
                <w:sz w:val="18"/>
              </w:rPr>
            </w:r>
            <w:r>
              <w:rPr>
                <w:rFonts w:ascii="Times New Roman" w:hAnsi="Times New Roman" w:eastAsia="Songti SC"/>
                <w:sz w:val="18"/>
              </w:rPr>
              <w:t>NetCDF统一保存数据、坐标与自描述元数据</w:t>
            </w:r>
          </w:p>
        </w:tc>
      </w:tr>
      <w:tr>
        <w:tc>
          <w:tcPr>
            <w:tcW w:type="dxa" w:w="2948"/>
          </w:tcPr>
          <w:p>
            <w:r>
              <w:rPr>
                <w:sz w:val="18"/>
              </w:rPr>
            </w:r>
            <w:r>
              <w:rPr>
                <w:rFonts w:ascii="Times New Roman" w:hAnsi="Times New Roman" w:eastAsia="Songti SC"/>
                <w:sz w:val="18"/>
              </w:rPr>
              <w:t>维度</w:t>
            </w:r>
          </w:p>
        </w:tc>
        <w:tc>
          <w:tcPr>
            <w:tcW w:type="dxa" w:w="2948"/>
          </w:tcPr>
          <w:p>
            <w:r>
              <w:rPr>
                <w:sz w:val="18"/>
              </w:rPr>
            </w:r>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type="dxa" w:w="2948"/>
          </w:tcPr>
          <w:p>
            <w:r>
              <w:rPr>
                <w:sz w:val="18"/>
              </w:rPr>
            </w:r>
            <w:r>
              <w:rPr>
                <w:rFonts w:ascii="Times New Roman" w:hAnsi="Times New Roman" w:eastAsia="Songti SC"/>
                <w:sz w:val="18"/>
              </w:rPr>
              <w:t>通用维度映射将多种源排列转换为统一结构</w:t>
            </w:r>
          </w:p>
        </w:tc>
      </w:tr>
      <w:tr>
        <w:tc>
          <w:tcPr>
            <w:tcW w:type="dxa" w:w="2948"/>
          </w:tcPr>
          <w:p>
            <w:r>
              <w:rPr>
                <w:sz w:val="18"/>
              </w:rPr>
            </w:r>
            <w:r>
              <w:rPr>
                <w:rFonts w:ascii="Times New Roman" w:hAnsi="Times New Roman" w:eastAsia="Songti SC"/>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type="dxa" w:w="2948"/>
          </w:tcPr>
          <w:p>
            <w:r>
              <w:rPr>
                <w:sz w:val="18"/>
              </w:rPr>
            </w:r>
            <w:r>
              <w:rPr>
                <w:rFonts w:ascii="Times New Roman" w:hAnsi="Times New Roman" w:eastAsia="Songti SC"/>
                <w:sz w:val="18"/>
              </w:rPr>
              <w:t>翻转和循环平移保持数据与坐标同步</w:t>
            </w:r>
          </w:p>
        </w:tc>
      </w:tr>
      <w:tr>
        <w:tc>
          <w:tcPr>
            <w:tcW w:type="dxa" w:w="2948"/>
          </w:tcPr>
          <w:p>
            <w:r>
              <w:rPr>
                <w:sz w:val="18"/>
              </w:rPr>
            </w:r>
            <w:r>
              <w:rPr>
                <w:rFonts w:ascii="Times New Roman" w:hAnsi="Times New Roman" w:eastAsia="Songti SC"/>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type="dxa" w:w="2948"/>
          </w:tcPr>
          <w:p>
            <w:r>
              <w:rPr>
                <w:sz w:val="18"/>
              </w:rPr>
            </w:r>
            <w:r>
              <w:rPr>
                <w:rFonts w:ascii="Times New Roman" w:hAnsi="Times New Roman" w:eastAsia="Songti SC"/>
                <w:sz w:val="18"/>
              </w:rPr>
              <w:t>统一变量命名、类型、单位和数值表达</w:t>
            </w:r>
          </w:p>
        </w:tc>
      </w:tr>
      <w:tr>
        <w:tc>
          <w:tcPr>
            <w:tcW w:type="dxa" w:w="2948"/>
          </w:tcPr>
          <w:p>
            <w:r>
              <w:rPr>
                <w:sz w:val="18"/>
              </w:rPr>
            </w:r>
            <w:r>
              <w:rPr>
                <w:rFonts w:ascii="Times New Roman" w:hAnsi="Times New Roman" w:eastAsia="Songti SC"/>
                <w:sz w:val="18"/>
              </w:rPr>
              <w:t>缺失值填补与范围</w:t>
            </w:r>
          </w:p>
        </w:tc>
        <w:tc>
          <w:tcPr>
            <w:tcW w:type="dxa" w:w="2948"/>
          </w:tcPr>
          <w:p>
            <w:r>
              <w:rPr>
                <w:sz w:val="18"/>
              </w:rPr>
            </w:r>
            <w:r>
              <w:rPr>
                <w:rFonts w:ascii="Times New Roman" w:hAnsi="Times New Roman" w:eastAsia="Songti SC"/>
                <w:sz w:val="18"/>
              </w:rPr>
              <w:t>有效范围、填充值和缺失值填补策略由YAML显式声明</w:t>
            </w:r>
          </w:p>
        </w:tc>
        <w:tc>
          <w:tcPr>
            <w:tcW w:type="dxa" w:w="2948"/>
          </w:tcPr>
          <w:p>
            <w:r>
              <w:rPr>
                <w:sz w:val="18"/>
              </w:rPr>
            </w:r>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sz w:val="18"/>
              </w:rPr>
              <w:t>记录可读说明、单位及处理变更条目</w:t>
            </w:r>
          </w:p>
        </w:tc>
        <w:tc>
          <w:tcPr>
            <w:tcW w:type="dxa" w:w="2948"/>
          </w:tcPr>
          <w:p>
            <w:r>
              <w:rPr>
                <w:sz w:val="18"/>
              </w:rPr>
            </w:r>
            <w:r>
              <w:rPr>
                <w:rFonts w:ascii="Times New Roman" w:hAnsi="Times New Roman" w:eastAsia="Songti SC"/>
                <w:sz w:val="18"/>
              </w:rPr>
              <w:t>输出文件保留变量语义与主要转换过程</w:t>
            </w:r>
          </w:p>
        </w:tc>
      </w:tr>
      <w:tr>
        <w:tc>
          <w:tcPr>
            <w:tcW w:type="dxa" w:w="2948"/>
          </w:tcPr>
          <w:p>
            <w:r>
              <w:rPr>
                <w:sz w:val="18"/>
              </w:rPr>
            </w:r>
            <w:r>
              <w:rPr>
                <w:rFonts w:ascii="Times New Roman" w:hAnsi="Times New Roman" w:eastAsia="Songti SC"/>
                <w:sz w:val="18"/>
              </w:rPr>
              <w:t>处理记录</w:t>
            </w:r>
          </w:p>
        </w:tc>
        <w:tc>
          <w:tcPr>
            <w:tcW w:type="dxa" w:w="2948"/>
          </w:tcPr>
          <w:p>
            <w:r>
              <w:rPr>
                <w:sz w:val="18"/>
              </w:rPr>
            </w:r>
            <w:r>
              <w:rPr>
                <w:rFonts w:ascii="Times New Roman" w:hAnsi="Times New Roman" w:eastAsia="Songti SC"/>
                <w:sz w:val="18"/>
              </w:rPr>
              <w:t>YAML声明维度、坐标、数值与缺失值填补规则；NetCDF属性写入逐项变更记录</w:t>
            </w:r>
          </w:p>
        </w:tc>
        <w:tc>
          <w:tcPr>
            <w:tcW w:type="dxa" w:w="2948"/>
          </w:tcPr>
          <w:p>
            <w:r>
              <w:rPr>
                <w:sz w:val="18"/>
              </w:rPr>
            </w:r>
            <w:r>
              <w:rPr>
                <w:rFonts w:ascii="Times New Roman" w:hAnsi="Times New Roman" w:eastAsia="Songti SC"/>
                <w:sz w:val="18"/>
              </w:rPr>
              <w:t>配置意图与数据集处理历史相互对应</w:t>
            </w:r>
          </w:p>
        </w:tc>
      </w:tr>
      <w:tr>
        <w:tc>
          <w:tcPr>
            <w:tcW w:type="dxa" w:w="2948"/>
          </w:tcPr>
          <w:p>
            <w:r>
              <w:rPr>
                <w:sz w:val="18"/>
              </w:rPr>
            </w:r>
            <w:r>
              <w:rPr>
                <w:rFonts w:ascii="Times New Roman" w:hAnsi="Times New Roman" w:eastAsia="Songti SC"/>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type="dxa" w:w="2948"/>
          </w:tcPr>
          <w:p>
            <w:r>
              <w:rPr>
                <w:sz w:val="18"/>
              </w:rPr>
            </w:r>
            <w:r>
              <w:rPr>
                <w:rFonts w:ascii="Times New Roman" w:hAnsi="Times New Roman" w:eastAsia="Songti SC"/>
                <w:sz w:val="18"/>
              </w:rPr>
              <w:t>配置、输入与代码版本共同重建标准化数据</w:t>
            </w:r>
          </w:p>
        </w:tc>
      </w:tr>
      <w:tr>
        <w:tc>
          <w:tcPr>
            <w:tcW w:type="dxa" w:w="2948"/>
          </w:tcPr>
          <w:p>
            <w:r>
              <w:rPr>
                <w:sz w:val="18"/>
              </w:rPr>
            </w:r>
            <w:r>
              <w:rPr>
                <w:rFonts w:ascii="Times New Roman" w:hAnsi="Times New Roman" w:eastAsia="Songti SC"/>
                <w:sz w:val="18"/>
              </w:rPr>
              <w:t>标签与版本</w:t>
            </w:r>
          </w:p>
        </w:tc>
        <w:tc>
          <w:tcPr>
            <w:tcW w:type="dxa" w:w="2948"/>
          </w:tcPr>
          <w:p>
            <w:r>
              <w:rPr>
                <w:sz w:val="18"/>
              </w:rPr>
            </w:r>
            <w:r>
              <w:rPr>
                <w:rFonts w:ascii="Times New Roman" w:hAnsi="Times New Roman" w:eastAsia="Songti SC"/>
                <w:sz w:val="18"/>
              </w:rPr>
              <w:t>标签表达类别、空间/时间分辨率、年份、版本和可选修订号</w:t>
            </w:r>
          </w:p>
        </w:tc>
        <w:tc>
          <w:tcPr>
            <w:tcW w:type="dxa" w:w="2948"/>
          </w:tcPr>
          <w:p>
            <w:r>
              <w:rPr>
                <w:sz w:val="18"/>
              </w:rPr>
            </w:r>
            <w:r>
              <w:rPr>
                <w:rFonts w:ascii="Times New Roman" w:hAnsi="Times New Roman" w:eastAsia="Songti SC"/>
                <w:sz w:val="18"/>
              </w:rPr>
              <w:t>标签与文件名共同形成稳定数据集标识</w:t>
            </w:r>
          </w:p>
        </w:tc>
      </w:tr>
      <w:tr>
        <w:tc>
          <w:tcPr>
            <w:tcW w:type="dxa" w:w="2948"/>
          </w:tcPr>
          <w:p>
            <w:r>
              <w:rPr>
                <w:sz w:val="18"/>
              </w:rPr>
            </w:r>
            <w:r>
              <w:rPr>
                <w:rFonts w:ascii="Times New Roman" w:hAnsi="Times New Roman" w:eastAsia="Songti SC"/>
                <w:sz w:val="18"/>
              </w:rPr>
              <w:t>分发完整性</w:t>
            </w:r>
          </w:p>
        </w:tc>
        <w:tc>
          <w:tcPr>
            <w:tcW w:type="dxa" w:w="2948"/>
          </w:tcPr>
          <w:p>
            <w:r>
              <w:rPr>
                <w:sz w:val="18"/>
              </w:rPr>
            </w:r>
            <w:r>
              <w:rPr>
                <w:rFonts w:ascii="Times New Roman" w:hAnsi="Times New Roman" w:eastAsia="Songti SC"/>
                <w:sz w:val="18"/>
              </w:rPr>
              <w:t>新登记或严格完整性条目记录文件字节数和SHA-256；同一标签的受控镜像指向相同内容</w:t>
            </w:r>
          </w:p>
        </w:tc>
        <w:tc>
          <w:tcPr>
            <w:tcW w:type="dxa" w:w="2948"/>
          </w:tcPr>
          <w:p>
            <w:r>
              <w:rPr>
                <w:sz w:val="18"/>
              </w:rPr>
            </w:r>
            <w:r>
              <w:rPr>
                <w:rFonts w:ascii="Times New Roman" w:hAnsi="Times New Roman" w:eastAsia="Songti SC"/>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r>
        <w:rPr>
          <w:rFonts w:ascii="Times New Roman" w:hAnsi="Times New Roman" w:eastAsia="Songti SC"/>
        </w:rPr>
        <w:t>缺失值填补由YAML中的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缺失值填补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rPr>
        <w:t>GriddingMachine固定输出维度顺序，以降低下游接口复杂度。新版通过YAML的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Songti SC"/>
        </w:rPr>
        <w:t>2.2.2 YAML配置与转换示例</w:t>
      </w:r>
    </w:p>
    <w:p>
      <w:r>
        <w:rPr>
          <w:rFonts w:ascii="Times New Roman" w:hAnsi="Times New Roman" w:eastAsia="Songti SC"/>
        </w:rPr>
        <w:t>YAML将数据源差异与通用处理代码分离。配置字段分别描述输入文件、源变量、维度语义、缺失值处理、版本和质量检查要求，共同构成可执行的数据生产配置。配置以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rPr>
        <w:t>框架同时提供程序化和本地交互式配置生成方式。二者输出均经同一配置规范校验后，由核心生产函数</w:t>
      </w:r>
      <w:r>
        <w:rPr>
          <w:rFonts w:ascii="Consolas" w:hAnsi="Consolas" w:eastAsia="Songti SC"/>
        </w:rPr>
        <w:t>process_dataset!</w:t>
      </w:r>
      <w:r>
        <w:rPr>
          <w:rFonts w:ascii="Times New Roman" w:hAnsi="Times New Roman" w:eastAsia="Songti SC"/>
        </w:rPr>
        <w:t>执行标准化处理，使数据贡献入口与生产流水线共享一致的字段语义。</w:t>
      </w:r>
    </w:p>
    <w:p>
      <w:pPr>
        <w:pStyle w:val="Heading3"/>
      </w:pPr>
      <w:r>
        <w:rPr>
          <w:rFonts w:ascii="Times New Roman" w:hAnsi="Times New Roman" w:eastAsia="Songti SC"/>
        </w:rPr>
        <w:t>2.2.3 生产流程与质量控制</w:t>
      </w:r>
    </w:p>
    <w:p>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rPr>
        <w:t>生产流程在保存前检查维度、坐标、变量、数值范围和缺失值填补结果，空间方向图进一步呈现坐标语义。质量控制完成后生成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rPr>
        <w:t>2.3 独立数据目录与事务式多镜像分发</w:t>
      </w:r>
    </w:p>
    <w:p>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超文本传输协议（HTTP/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。对已有目录条目，系统保留兼容访问方式；对登记完整性信息的新条目，则执行严格校验和事务式落盘。目录规范和获取逻辑对多URL与完整性字段采用统一表达。</w:t>
      </w:r>
    </w:p>
    <w:p>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rPr>
        <w:t>2.4 统一读取与模式输入组织</w:t>
      </w:r>
    </w:p>
    <w:p>
      <w:pPr>
        <w:pStyle w:val="Heading3"/>
      </w:pPr>
      <w:r>
        <w:rPr>
          <w:rFonts w:ascii="Times New Roman" w:hAnsi="Times New Roman" w:eastAsia="Songti SC"/>
        </w:rPr>
        <w:t>2.4.1 标准网格数据读取</w:t>
      </w:r>
    </w:p>
    <w:p>
      <w:r>
        <w:rPr>
          <w:rFonts w:ascii="Times New Roman" w:hAnsi="Times New Roman" w:eastAsia="Songti SC"/>
        </w:rPr>
        <w:t>标准网格数据读取接口支持以本地NetCDF路径或数据标签访问数据，并提供整场数组、指定周期切片、站点全部周期和站点指定周期4种读取方式。标签对应的NetCDF可由目录模块自动获取；默认返回标准变量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rPr>
        <w:t>2.4.2 模式参数与气象驱动组织</w:t>
      </w:r>
    </w:p>
    <w:p>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缺失值填补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r>
        <w:rPr>
          <w:rFonts w:ascii="Times New Roman" w:hAnsi="Times New Roman" w:eastAsia="Songti SC"/>
        </w:rPr>
        <w:t xml:space="preserve">植物功能型比例进一步用于融合 C3 和 C4 植物的叶片光学参数与 Medlyn 气孔导度模型参数，并由 25 ℃下最大羧化速率 </w:t>
      </w:r>
      <w:r>
        <w:rPr>
          <w:rFonts w:ascii="Consolas" w:hAnsi="Consolas" w:eastAsia="Songti SC"/>
        </w:rPr>
        <w:t>VCMAX25</w:t>
      </w:r>
      <w:r>
        <w:rPr>
          <w:rFonts w:ascii="Times New Roman" w:hAnsi="Times New Roman" w:eastAsia="Songti SC"/>
        </w:rPr>
        <w:t xml:space="preserve"> 推导最大电子传递速率 </w:t>
      </w:r>
      <w:r>
        <w:rPr>
          <w:rFonts w:ascii="Consolas" w:hAnsi="Consolas" w:eastAsia="Songti SC"/>
        </w:rPr>
        <w:t>JMAX25</w:t>
      </w:r>
      <w:r>
        <w:rPr>
          <w:rFonts w:ascii="Times New Roman" w:hAnsi="Times New Roman" w:eastAsia="Songti SC"/>
        </w:rPr>
        <w:t xml:space="preserve"> 和细胞色素 b6f 复合体参数 </w:t>
      </w:r>
      <w:r>
        <w:rPr>
          <w:rFonts w:ascii="Consolas" w:hAnsi="Consolas" w:eastAsia="Songti SC"/>
        </w:rPr>
        <w:t>B6F</w:t>
      </w:r>
      <w:r>
        <w:rPr>
          <w:rFonts w:ascii="Times New Roman" w:hAnsi="Times New Roman" w:eastAsia="Songti SC"/>
        </w:rPr>
        <w:t xml:space="preserve">。输出涵盖位置、分辨率、年份、二氧化碳（CO₂）、土壤水力性质、冠层结构、植物功能型组成、叶片生物物理和光合参数；字段完整性与缺失值标记 </w:t>
      </w:r>
      <w:r>
        <w:rPr>
          <w:rFonts w:ascii="Consolas" w:hAnsi="Consolas" w:eastAsia="Songti SC"/>
        </w:rPr>
        <w:t>NaN</w:t>
      </w:r>
      <w:r>
        <w:rPr>
          <w:rFonts w:ascii="Times New Roman" w:hAnsi="Times New Roman" w:eastAsia="Songti SC"/>
        </w:rPr>
        <w:t xml:space="preserve"> 状态同步进入质量控制。多个标准化数据由此形成结构一致的格点级模式输入。本文关注数据组织和接口衔接，不对Emerald的模式性能或科学模拟结果作独立评价。</w:t>
      </w:r>
    </w:p>
    <w:p>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中的8类第五代全球再分析数据（ERA5）[6]，分别提取地表气压、降水、漫射与直射短波辐射、长波辐射、气温、水汽压亏缺和风速，并依据格点经度换算时区偏移、构建浮点年积日（fractional day of year，</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数据集，经镜像获取，并在目录提供完整性元数据时执行内容核验，再读取整场、周期或格点数据，并形成陆面参数或气象驱动；具体公共接口、调用参数和完整Julia示例列入补充材料与版本化用户指南。</w:t>
      </w:r>
    </w:p>
    <w:p>
      <w:pPr>
        <w:pStyle w:val="Heading2"/>
      </w:pPr>
      <w:r>
        <w:rPr>
          <w:rFonts w:ascii="Times New Roman" w:hAnsi="Times New Roman" w:eastAsia="Songti SC"/>
        </w:rPr>
        <w:t>2.5 多语言数据下载接口</w:t>
      </w:r>
    </w:p>
    <w:p>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w:t>
      </w:r>
    </w:p>
    <w:p>
      <w:r>
        <w:rPr>
          <w:rFonts w:ascii="Times New Roman" w:hAnsi="Times New Roman" w:eastAsia="Songti SC"/>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rPr>
        <w:t>目录提供。</w:t>
      </w:r>
    </w:p>
    <w:p>
      <w:pPr>
        <w:pStyle w:val="Heading1"/>
      </w:pPr>
      <w:r>
        <w:rPr>
          <w:rFonts w:ascii="Times New Roman" w:hAnsi="Times New Roman" w:eastAsia="Songti SC"/>
        </w:rPr>
        <w:t>3 应用案例与评价方法</w:t>
      </w:r>
    </w:p>
    <w:p>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sz w:val="18"/>
              </w:rPr>
              <w:t>数据生产与标准化层将异构源数据转换为标准NetCDF</w:t>
            </w:r>
          </w:p>
        </w:tc>
        <w:tc>
          <w:tcPr>
            <w:tcW w:type="dxa" w:w="2211"/>
          </w:tcPr>
          <w:p>
            <w:r>
              <w:rPr>
                <w:sz w:val="18"/>
              </w:rPr>
            </w:r>
            <w:r>
              <w:rPr>
                <w:rFonts w:ascii="Times New Roman" w:hAnsi="Times New Roman" w:eastAsia="Songti SC"/>
                <w:sz w:val="18"/>
              </w:rPr>
              <w:t>31组受控实例、ELEV重复生产与逐点核对</w:t>
            </w:r>
          </w:p>
        </w:tc>
        <w:tc>
          <w:tcPr>
            <w:tcW w:type="dxa" w:w="2211"/>
          </w:tcPr>
          <w:p>
            <w:r>
              <w:rPr>
                <w:sz w:val="18"/>
              </w:rPr>
            </w:r>
            <w:r>
              <w:rPr>
                <w:rFonts w:ascii="Times New Roman" w:hAnsi="Times New Roman" w:eastAsia="Songti SC"/>
                <w:sz w:val="18"/>
              </w:rPr>
              <w:t>OISST V2.1真实异构源数据</w:t>
            </w:r>
          </w:p>
        </w:tc>
        <w:tc>
          <w:tcPr>
            <w:tcW w:type="dxa" w:w="2211"/>
          </w:tcPr>
          <w:p>
            <w:r>
              <w:rPr>
                <w:sz w:val="18"/>
              </w:rPr>
            </w:r>
            <w:r>
              <w:rPr>
                <w:rFonts w:ascii="Times New Roman" w:hAnsi="Times New Roman" w:eastAsia="Songti SC"/>
                <w:sz w:val="18"/>
              </w:rPr>
              <w:t>维度与坐标、有效值掩膜、逐点物理值、重复生成摘要</w:t>
            </w:r>
          </w:p>
        </w:tc>
      </w:tr>
      <w:tr>
        <w:tc>
          <w:tcPr>
            <w:tcW w:type="dxa" w:w="2211"/>
          </w:tcPr>
          <w:p>
            <w:r>
              <w:rPr>
                <w:sz w:val="18"/>
              </w:rPr>
            </w:r>
            <w:r>
              <w:rPr>
                <w:rFonts w:ascii="Times New Roman" w:hAnsi="Times New Roman" w:eastAsia="Songti SC"/>
                <w:sz w:val="18"/>
              </w:rPr>
              <w:t>数据目录与可信分发层组织高效且内容可核验的数据获取</w:t>
            </w:r>
          </w:p>
        </w:tc>
        <w:tc>
          <w:tcPr>
            <w:tcW w:type="dxa" w:w="2211"/>
          </w:tcPr>
          <w:p>
            <w:r>
              <w:rPr>
                <w:sz w:val="18"/>
              </w:rPr>
            </w:r>
            <w:r>
              <w:rPr>
                <w:rFonts w:ascii="Times New Roman" w:hAnsi="Times New Roman" w:eastAsia="Songti SC"/>
                <w:sz w:val="18"/>
              </w:rPr>
              <w:t>ELEV/LAI回环HTTP对照；13类受控状态场景</w:t>
            </w:r>
          </w:p>
        </w:tc>
        <w:tc>
          <w:tcPr>
            <w:tcW w:type="dxa" w:w="2211"/>
          </w:tcPr>
          <w:p>
            <w:r>
              <w:rPr>
                <w:sz w:val="18"/>
              </w:rPr>
            </w:r>
            <w:r>
              <w:rPr>
                <w:rFonts w:ascii="Times New Roman" w:hAnsi="Times New Roman" w:eastAsia="Songti SC"/>
                <w:sz w:val="18"/>
              </w:rPr>
              <w:t>Zenodo公共网络记录；中国科学技术大学（以下简称中科大）校内网 FTP—Zenodo同文件获取</w:t>
            </w:r>
          </w:p>
        </w:tc>
        <w:tc>
          <w:tcPr>
            <w:tcW w:type="dxa" w:w="2211"/>
          </w:tcPr>
          <w:p>
            <w:r>
              <w:rPr>
                <w:sz w:val="18"/>
              </w:rPr>
            </w:r>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tc>
          <w:tcPr>
            <w:tcW w:type="dxa" w:w="2211"/>
          </w:tcPr>
          <w:p>
            <w:r>
              <w:rPr>
                <w:sz w:val="18"/>
              </w:rPr>
            </w:r>
            <w:r>
              <w:rPr>
                <w:rFonts w:ascii="Times New Roman" w:hAnsi="Times New Roman" w:eastAsia="Songti SC"/>
                <w:sz w:val="18"/>
              </w:rPr>
              <w:t>模式输入组织层将标准化数据组织为模式就绪输入</w:t>
            </w:r>
          </w:p>
        </w:tc>
        <w:tc>
          <w:tcPr>
            <w:tcW w:type="dxa" w:w="2211"/>
          </w:tcPr>
          <w:p>
            <w:r>
              <w:rPr>
                <w:sz w:val="18"/>
              </w:rPr>
            </w:r>
            <w:r>
              <w:rPr>
                <w:rFonts w:ascii="Times New Roman" w:hAnsi="Times New Roman" w:eastAsia="Songti SC"/>
                <w:sz w:val="18"/>
              </w:rPr>
              <w:t>确定性读取、字段、时间轴与接口核对</w:t>
            </w:r>
          </w:p>
        </w:tc>
        <w:tc>
          <w:tcPr>
            <w:tcW w:type="dxa" w:w="2211"/>
          </w:tcPr>
          <w:p>
            <w:r>
              <w:rPr>
                <w:sz w:val="18"/>
              </w:rPr>
            </w:r>
            <w:r>
              <w:rPr>
                <w:rFonts w:ascii="Times New Roman" w:hAnsi="Times New Roman" w:eastAsia="Songti SC"/>
                <w:sz w:val="18"/>
              </w:rPr>
              <w:t>US-NR1的14类陆面数据集、8类ERA5及Emerald初始化和60 s首步</w:t>
            </w:r>
          </w:p>
        </w:tc>
        <w:tc>
          <w:tcPr>
            <w:tcW w:type="dxa" w:w="2211"/>
          </w:tcPr>
          <w:p>
            <w:r>
              <w:rPr>
                <w:sz w:val="18"/>
              </w:rPr>
            </w:r>
            <w:r>
              <w:rPr>
                <w:rFonts w:ascii="Times New Roman" w:hAnsi="Times New Roman" w:eastAsia="Songti SC"/>
                <w:sz w:val="18"/>
              </w:rPr>
              <w:t>字段与形状、时间轴、量纲、逐点数值、初始化与首步状态</w:t>
            </w:r>
          </w:p>
        </w:tc>
      </w:tr>
      <w:tr>
        <w:tc>
          <w:tcPr>
            <w:tcW w:type="dxa" w:w="2211"/>
          </w:tcPr>
          <w:p>
            <w:r>
              <w:rPr>
                <w:sz w:val="18"/>
              </w:rPr>
            </w:r>
            <w:r>
              <w:rPr>
                <w:rFonts w:ascii="Times New Roman" w:hAnsi="Times New Roman" w:eastAsia="Songti SC"/>
                <w:sz w:val="18"/>
              </w:rPr>
              <w:t>核心实现具有跨操作系统运行一致性</w:t>
            </w:r>
          </w:p>
        </w:tc>
        <w:tc>
          <w:tcPr>
            <w:tcW w:type="dxa" w:w="2211"/>
          </w:tcPr>
          <w:p>
            <w:r>
              <w:rPr>
                <w:sz w:val="18"/>
              </w:rPr>
            </w:r>
            <w:r>
              <w:rPr>
                <w:rFonts w:ascii="Times New Roman" w:hAnsi="Times New Roman" w:eastAsia="Songti SC"/>
                <w:sz w:val="18"/>
              </w:rPr>
              <w:t>Windows、macOS、Linux持续集成</w:t>
            </w:r>
          </w:p>
        </w:tc>
        <w:tc>
          <w:tcPr>
            <w:tcW w:type="dxa" w:w="2211"/>
          </w:tcPr>
          <w:p>
            <w:r>
              <w:rPr>
                <w:sz w:val="18"/>
              </w:rPr>
            </w:r>
            <w:r>
              <w:rPr>
                <w:rFonts w:ascii="Times New Roman" w:hAnsi="Times New Roman" w:eastAsia="Songti SC"/>
                <w:sz w:val="18"/>
              </w:rPr>
              <w:t>Windows/macOS独立性能观测及按实际环境记录的真实网络案例</w:t>
            </w:r>
          </w:p>
        </w:tc>
        <w:tc>
          <w:tcPr>
            <w:tcW w:type="dxa" w:w="2211"/>
          </w:tcPr>
          <w:p>
            <w:r>
              <w:rPr>
                <w:sz w:val="18"/>
              </w:rPr>
            </w:r>
            <w:r>
              <w:rPr>
                <w:rFonts w:ascii="Times New Roman" w:hAnsi="Times New Roman" w:eastAsia="Songti SC"/>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rPr>
        <w:t>3.1 数据生产与标准化及OISST案例</w:t>
      </w:r>
    </w:p>
    <w:p>
      <w:pPr>
        <w:pStyle w:val="Heading3"/>
      </w:pPr>
      <w:r>
        <w:rPr>
          <w:rFonts w:ascii="Times New Roman" w:hAnsi="Times New Roman" w:eastAsia="Songti SC"/>
        </w:rPr>
        <w:t>3.1.1 共享生产契约与质量控制</w:t>
      </w:r>
    </w:p>
    <w:p>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经度平移、线性缩放、范围过滤、缺失值填补、</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r>
        <w:rPr>
          <w:rFonts w:ascii="Times New Roman" w:hAnsi="Times New Roman" w:eastAsia="Songti SC"/>
        </w:rPr>
        <w:t>共享生产契约的受控评价围绕维度、坐标、数值、缺失值填补、配置、输出和空间方向7个方面组织31组处理实例，并进一步检查变量、形状、属性、数值范围和缺失值状态。各组以结构、逐点数值或数据集状态表征标准化结果；输出数组与位置编码参照逐点对应，Float32转换采用统一的绝对和相对容差，质量报告同步保存误差、处理历史和重复生产一致性。完整分类矩阵见补充材料S4。</w:t>
      </w:r>
    </w:p>
    <w:p>
      <w:r>
        <w:rPr>
          <w:rFonts w:ascii="Times New Roman" w:hAnsi="Times New Roman" w:eastAsia="Songti SC"/>
        </w:rPr>
        <w:t>29组非交互处理实例在Windows、macOS和Linux持续集成环境中采用相同判据运行；空间方向测试 V01（方向正确）和 V02（南北反转）分别设置相应预期。自动结构与数值检查和人工空间审核共同评价生产契约在数组变换、配置解析和空间方向控制方面的跨系统一致性。</w:t>
      </w:r>
    </w:p>
    <w:p>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rPr>
        <w:t>3.1.2 OISST异构数据集标准化</w:t>
      </w:r>
    </w:p>
    <w:p>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V2.1数据，选用仅使用甚高分辨率辐射计（AVHRR）数据的版本[7]，选取2022年2月25日文件。原始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r>
        <w:rPr>
          <w:rFonts w:ascii="Times New Roman" w:hAnsi="Times New Roman" w:eastAsia="Songti SC"/>
        </w:rPr>
        <w:t xml:space="preserve">独立参考流程直接读取未缩放的Int16存储值，根据原始 NetCDF 变量属性 </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 xml:space="preserve"> 和 </w:t>
      </w:r>
      <w:r>
        <w:rPr>
          <w:rFonts w:ascii="Consolas" w:hAnsi="Consolas" w:eastAsia="Songti SC"/>
        </w:rPr>
        <w:t>_FillValue</w:t>
      </w:r>
      <w:r>
        <w:rPr>
          <w:rFonts w:ascii="Times New Roman" w:hAnsi="Times New Roman" w:eastAsia="Songti SC"/>
        </w:rPr>
        <w:t xml:space="preserve"> 构造物理值与缺失值掩膜，并独立计算目标经度索引。参考结果记录全场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Songti SC"/>
        </w:rPr>
        <w:t>3.2 ELEV与LAI的直接NetCDF分发效率评价</w:t>
      </w:r>
    </w:p>
    <w:p>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rPr>
        <w:t>3.3 多镜像获取与内容完整性</w:t>
      </w:r>
    </w:p>
    <w:p>
      <w:r>
        <w:rPr>
          <w:rFonts w:ascii="Times New Roman" w:hAnsi="Times New Roman" w:eastAsia="Songti SC"/>
        </w:rPr>
        <w:t>数据目录管理流程涵盖首次建立、版本更新、目录同步、数据集获取、状态查询和历史数据整理。代表性目录包含不同版本的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机构FTP与Zenodo公共存储的访问进一步呈现机构镜像和公共镜像的互补分发特征与内容一致性；完整场景矩阵列于补充材料S6。</w:t>
      </w:r>
    </w:p>
    <w:p>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场景刻画Zenodo镜像获取特征；中科大校内网实验对FTP与Zenodo执行同文件只读下载，共形成24次完整性记录。实验数据与环境信息随可复现材料归档。</w:t>
      </w:r>
    </w:p>
    <w:p>
      <w:pPr>
        <w:pStyle w:val="Heading2"/>
      </w:pPr>
      <w:r>
        <w:rPr>
          <w:rFonts w:ascii="Times New Roman" w:hAnsi="Times New Roman" w:eastAsia="Songti SC"/>
        </w:rPr>
        <w:t>3.4 统一读取与模式输入组织</w:t>
      </w:r>
    </w:p>
    <w:p>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rPr>
        <w:t>真实气象案例使用同一年度的8类ERA5标准化数据[6]：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rPr>
        <w:t>3.5 跨操作系统运行一致性设计</w:t>
      </w:r>
    </w:p>
    <w:p>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rPr>
        <w:t>4 结果</w:t>
      </w:r>
    </w:p>
    <w:p>
      <w:r>
        <w:rPr>
          <w:rFonts w:ascii="Times New Roman" w:hAnsi="Times New Roman" w:eastAsia="Songti SC"/>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rPr>
        <w:t>4.1 数据生产与标准化及OISST结果</w:t>
      </w:r>
    </w:p>
    <w:p>
      <w:pPr>
        <w:pStyle w:val="Heading3"/>
      </w:pPr>
      <w:r>
        <w:rPr>
          <w:rFonts w:ascii="Times New Roman" w:hAnsi="Times New Roman" w:eastAsia="Songti SC"/>
        </w:rPr>
        <w:t>4.1.1 共享生产契约与质量控制结果</w:t>
      </w:r>
    </w:p>
    <w:p>
      <w:r>
        <w:rPr>
          <w:rFonts w:ascii="Times New Roman" w:hAnsi="Times New Roman" w:eastAsia="Songti SC"/>
        </w:rPr>
        <w:t>31组处理实例覆盖维度、坐标、数值、缺失值填补、配置、输出和空间方向控制，其中29组非交互实例在三系统持续集成环境中获得一致的数据集结构和逐点数值结果；人工空间审核分别接受正向图并识别南北反转图，与预设方向结果一致。数据贡献案例进一步贯通YAML配置、标准化数据生成、目录登记和下游读取，生成数据集与参考数组逐点一致，目录中的文件字节数和SHA-256与数据集相符。</w:t>
      </w:r>
    </w:p>
    <w:p>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m；GriddingMachine整场读取与NetCDF底层Float32数组逐点一致。使用显式标准维度、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pPr>
        <w:pStyle w:val="Heading3"/>
      </w:pPr>
      <w:r>
        <w:rPr>
          <w:rFonts w:ascii="Times New Roman" w:hAnsi="Times New Roman" w:eastAsia="Songti SC"/>
        </w:rPr>
        <w:t>4.1.2 OISST异构数据集标准化结果</w:t>
      </w:r>
    </w:p>
    <w:p>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628433"/>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28433"/>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dataset.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rPr>
        <w:t>4.2 ELEV与LAI的直接NetCDF分发效率</w:t>
      </w:r>
    </w:p>
    <w:p>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将ELEV和LAI的端到端中位时间分别降低48.3%和82.9%；环境B中的相应降幅分别为53.6%和69.2%（图3）。两个数据文件的传输字节分别增加6.43%和2.16%，逻辑临时占用分别减少约48%和49%。80次SHA-256摘要核验结果一致。</w:t>
      </w:r>
    </w:p>
    <w:p>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pPr>
        <w:ind w:firstLine="0"/>
      </w:pPr>
      <w:r>
        <w:rPr>
          <w:rFonts w:ascii="Times New Roman" w:hAnsi="Times New Roman" w:eastAsia="Songti SC"/>
          <w:b/>
        </w:rPr>
        <w:t>Fig. 3 End-to-end distribution time for the ELEV and LAI datasets using direct NetCDF and external `tar.gz` archives.</w:t>
      </w:r>
      <w:r>
        <w:rPr>
          <w:rFonts w:ascii="Times New Roman" w:hAnsi="Times New Roman" w:eastAsia="Songti SC"/>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pPr>
        <w:pStyle w:val="Heading2"/>
      </w:pPr>
      <w:r>
        <w:rPr>
          <w:rFonts w:ascii="Times New Roman" w:hAnsi="Times New Roman" w:eastAsia="Songti SC"/>
        </w:rPr>
        <w:t>4.3 目录管理与事务式多镜像分发</w:t>
      </w:r>
    </w:p>
    <w:p>
      <w:r>
        <w:rPr>
          <w:rFonts w:ascii="Times New Roman" w:hAnsi="Times New Roman" w:eastAsia="Songti SC"/>
        </w:rPr>
        <w:t>目录与数据获取模块将目录初始化、事务更新、数据集同步、镜像获取、状态查询和历史数据整理组织为统一的数据维护接口。独立目录使数据集能够随镜像和版本持续更新，事务缓存区与正式数据区的分层机制则将传输过程与标准化数据分离，使上一有效目录和已发布数据集在目录更新与镜像切换过程中保持稳定。</w:t>
      </w:r>
    </w:p>
    <w:p>
      <w:r>
        <w:rPr>
          <w:rFonts w:ascii="Times New Roman" w:hAnsi="Times New Roman" w:eastAsia="Songti SC"/>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Songti SC"/>
        </w:rPr>
        <w:t>在公共网络场景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rPr>
        <w:t>中科大校内网双镜像实验是另一组独立记录：4个数据集分别从FTP和Zenodo重复获取3次，两类镜像各形成12次下载，共24次结果，均达到登记字节数并通过SHA-256核验。在本组中科大校内网观测中，延迟辅助排序与实际传输顺序一致，机构镜像与公共镜像提供了内容一致的分发副本；分数据集传输时间与网络记录列于补充材料。</w:t>
      </w:r>
    </w:p>
    <w:p>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rPr>
        <w:t>4.4 统一读取与模式输入组织</w:t>
      </w:r>
    </w:p>
    <w:p>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rPr>
        <w:t>量纲审计进一步表明，PPT全年累计值为0.496409 m水层，即496.409 mm。该数值尺度与ERA5逐小时累计降水的米制表达[8]及Emerald由水层厚度转换为摩尔通量的适配关系一致。据此，标准NetCDF中的降水单位属性统一为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rPr>
        <w:t>4.5 跨操作系统运行一致性结果</w:t>
      </w:r>
    </w:p>
    <w:p>
      <w:r>
        <w:rPr>
          <w:rFonts w:ascii="Times New Roman" w:hAnsi="Times New Roman" w:eastAsia="Songti SC"/>
        </w:rPr>
        <w:t>Windows、macOS和Linux持续集成环境分别完成29组非交互生产实例、40次确定性分发测量和65次镜像状态核对，数据集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Songti SC"/>
        </w:rPr>
        <w:t>Windows和macOS本地环境进一步完成ELEV/LAI性能测量及镜像故障场景，独立公共网络记录完成Zenodo内容核验；中科大校内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rPr>
        <w:t>5 讨论</w:t>
      </w:r>
    </w:p>
    <w:p>
      <w:pPr>
        <w:pStyle w:val="Heading2"/>
      </w:pPr>
      <w:r>
        <w:rPr>
          <w:rFonts w:ascii="Times New Roman" w:hAnsi="Times New Roman" w:eastAsia="Songti SC"/>
        </w:rPr>
        <w:t>5.1 相对2022版的更新与科研用途</w:t>
      </w:r>
    </w:p>
    <w:p>
      <w:r>
        <w:rPr>
          <w:rFonts w:ascii="Times New Roman" w:hAnsi="Times New Roman" w:eastAsia="Songti SC"/>
        </w:rPr>
        <w:t>2022版GriddingMachine已建立统一网格、变量约定、标签访问和多语言接口[4]。本轮更新进一步把数据源专用处理规则整理为共享配置，将数据目录与软件包分开维护，并将标准网格读取延伸到陆面参数和气象驱动组织。其科研用途在于减少不同数据集和模式之间重复编写转换、下载与接口程序的工作，使数据修订能够在明确的配置、目录和文件记录下进行。</w:t>
      </w:r>
    </w:p>
    <w:p>
      <w:r>
        <w:rPr>
          <w:rFonts w:ascii="Times New Roman" w:hAnsi="Times New Roman" w:eastAsia="Songti SC"/>
        </w:rPr>
        <w:t>OISST案例说明，共享流程可以通过源适配器处理单例维度、存储缩放和经度范围差异，并保留与独立参考逐点核对的路径。ERA5降水修订则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rPr>
        <w:t>5.2 分发效率与科学数据质量</w:t>
      </w:r>
    </w:p>
    <w:p>
      <w:r>
        <w:rPr>
          <w:rFonts w:ascii="Times New Roman" w:hAnsi="Times New Roman" w:eastAsia="Songti SC"/>
        </w:rPr>
        <w:t>直接NetCDF减少了单文件外层打包和解包的步骤。对于本文测试的两个内部压缩文件，直接分发虽然增加少量传输字节，但减少了临时占用并缩短缓存预热后的端到端访问时间。这一结果适用于所测文件与协议；其他文件规模、压缩程度和网络带宽下的收益取决于传输与解包开销的相对大小。选择分发方式时，应同时考虑传输量、首次读取时间和本地存储需求。</w:t>
      </w:r>
    </w:p>
    <w:p>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rPr>
        <w:t>5.3 从标准网格数据到模式输入</w:t>
      </w:r>
    </w:p>
    <w:p>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s首步计算。这些结果说明本文数据组织方法能够与既定模式接口衔接。</w:t>
      </w:r>
    </w:p>
    <w:p>
      <w:r>
        <w:rPr>
          <w:rFonts w:ascii="Times New Roman" w:hAnsi="Times New Roman" w:eastAsia="Songti SC"/>
        </w:rPr>
        <w:t>这一流程可作为其他站点、年份和模式的数据接入参考。迁移时应根据目标模式重新确认空间代表性、时间分辨率、变量定义和单位关系；长期模拟与观测比较则用于进一步评价模式运行效果。Julia主流程与非Julia下载入口分别服务输入组织和跨语言文件获取，研究人员可按已有科研程序的需求选择调用方式。</w:t>
      </w:r>
    </w:p>
    <w:p>
      <w:pPr>
        <w:pStyle w:val="Heading2"/>
      </w:pPr>
      <w:r>
        <w:rPr>
          <w:rFonts w:ascii="Times New Roman" w:hAnsi="Times New Roman" w:eastAsia="Songti SC"/>
        </w:rPr>
        <w:t>5.4 与相关数据基础设施的关系及扩展方向</w:t>
      </w:r>
    </w:p>
    <w:p>
      <w:r>
        <w:rPr>
          <w:rFonts w:ascii="Times New Roman" w:hAnsi="Times New Roman" w:eastAsia="Songti SC"/>
        </w:rPr>
        <w:t>NetCDF/CF提供多维数据表达与元数据约定[2,5]，地球系统数据立方体强调多变量时空数据的联合组织与分析[9]。GriddingMachine在这些基础上固定规则网格、变量命名和数据标签，使不同来源的数据能够进入一致的本地读取流程。其核心实现使用Julia[10]，通过可组合的数据处理与读取接口连接标准化过程和模式程序。</w:t>
      </w:r>
    </w:p>
    <w:p>
      <w:r>
        <w:rPr>
          <w:rFonts w:ascii="Times New Roman" w:hAnsi="Times New Roman" w:eastAsia="Songti SC"/>
        </w:rPr>
        <w:t>Google Earth Engine侧重云端遥感数据访问与计算[3]，ESGF侧重分布式气候模式数据发现和访问[11]，Pangeo及Pangeo Forge支持云端数据组织与可复用的处理配方[12,13]。GriddingMachine面向固定版本、离线缓存和本地模式调用，利用共享配置、数据目录和模式输入接口衔接这些环节。与上述平台的关系主要体现为科研工作流中的分工；本文的本地分发实验也不构成与云端平台的性能比较。</w:t>
      </w:r>
    </w:p>
    <w:p>
      <w:r>
        <w:rPr>
          <w:rFonts w:ascii="Times New Roman" w:hAnsi="Times New Roman" w:eastAsia="Songti SC"/>
        </w:rPr>
        <w:t>国内地球系统科学数据共享研究强调规范分类和目录建设[14]；Pooch提供科研文件获取与管理工具[15]，STAC提供地理空间数据的目录描述规范[16]。GriddingMachine进一步约定标准网格数据和模式输入的组织方式，为模式研究中的多源数据组合提供统一入口。后续可在保留现有读取方式的同时，加强与通用目录和数据获取工具的衔接。</w:t>
      </w:r>
    </w:p>
    <w:p>
      <w:r>
        <w:rPr>
          <w:rFonts w:ascii="Times New Roman" w:hAnsi="Times New Roman" w:eastAsia="Songti SC"/>
        </w:rPr>
        <w:t>持续维护需要兼顾软件版本、数据出处和可引用性。科研软件引用原则[17]、FAIR4RS[18]和TRUST[19]分别为软件识别、复用和资源库维护提供参考，国内国家科学数据中心的FAIR实践也强调元数据与使用信息的重要性[20]。当前跨系统测试提供了固定依赖下的运行一致性证据；后续重点是完善数据目录与镜像登记、归档配置和实验环境，并扩展非规则网格源适配及更多模式接口，使数据更新和科研复用保持可追溯。</w:t>
      </w:r>
    </w:p>
    <w:p>
      <w:pPr>
        <w:pStyle w:val="Heading1"/>
      </w:pPr>
      <w:r>
        <w:rPr>
          <w:rFonts w:ascii="Times New Roman" w:hAnsi="Times New Roman" w:eastAsia="Songti SC"/>
        </w:rPr>
        <w:t>6 结论</w:t>
      </w:r>
    </w:p>
    <w:p>
      <w:r>
        <w:rPr>
          <w:rFonts w:ascii="Times New Roman" w:hAnsi="Times New Roman" w:eastAsia="Songti SC"/>
        </w:rPr>
        <w:t>本文面向地球系统模式对全球网格数据的使用需求，在2022版GriddingMachine基础上完善了数据预处理、分发和读取。共享YAML配置统一描述源数据转换规则，独立目录组织标签、镜像和完整性信息，统一读取接口将标准化数据进一步组织为陆面参数和气象驱动；多语言下载入口扩展了数据获取的调用方式。</w:t>
      </w:r>
    </w:p>
    <w:p>
      <w:r>
        <w:rPr>
          <w:rFonts w:ascii="Times New Roman" w:hAnsi="Times New Roman" w:eastAsia="Songti SC"/>
        </w:rPr>
        <w:t>受控实例和真实数据案例表明，新版流程能够保持标准化数据与独立参考的一致性，改善直接NetCDF文件的分发效率，支持FTP—Zenodo镜像内容核验，并将陆面参数和ERA5逐时数据组织为US-NR1模式输入，完成Emerald初始化和60 s首步计算。具体数值结果见第4节。</w:t>
      </w:r>
    </w:p>
    <w:p>
      <w:r>
        <w:rPr>
          <w:rFonts w:ascii="Times New Roman" w:hAnsi="Times New Roman" w:eastAsia="Songti SC"/>
        </w:rPr>
        <w:t>更新后的GriddingMachine将数据处理规则、网络获取和模式输入连接为可重复调用的流程，为全球网格数据的持续维护和地球系统模式研究提供基础。后续将围绕数据覆盖、镜像维护和模式适配扩展其科研应用。</w:t>
      </w:r>
    </w:p>
    <w:p>
      <w:pPr>
        <w:pStyle w:val="Heading1"/>
      </w:pPr>
      <w:r>
        <w:rPr>
          <w:rFonts w:ascii="Times New Roman" w:hAnsi="Times New Roman" w:eastAsia="Songti SC"/>
        </w:rPr>
        <w:t>数据和代码可用性声明</w:t>
      </w:r>
    </w:p>
    <w:p>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目录，对应提交</w:t>
      </w:r>
      <w:r>
        <w:rPr>
          <w:rFonts w:ascii="Consolas" w:hAnsi="Consolas" w:eastAsia="Songti SC"/>
        </w:rPr>
        <w:t>e0ee0051ba1e51826f494d03f4a411187477cc61</w:t>
      </w:r>
      <w:r>
        <w:rPr>
          <w:rFonts w:ascii="Times New Roman" w:hAnsi="Times New Roman" w:eastAsia="Songti SC"/>
        </w:rPr>
        <w:t>；该新增代码与既有实验冻结版本分别记录。研究材料的内容冻结提交、冻结分支及不可变稿件标签由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pPr>
        <w:pStyle w:val="Heading1"/>
      </w:pPr>
      <w:r>
        <w:rPr>
          <w:rFonts w:ascii="Times New Roman" w:hAnsi="Times New Roman" w:eastAsia="Songti SC"/>
        </w:rPr>
        <w:t>基金项目</w:t>
      </w:r>
    </w:p>
    <w:p>
      <w:r>
        <w:rPr>
          <w:rFonts w:ascii="Times New Roman" w:hAnsi="Times New Roman" w:eastAsia="Songti SC"/>
        </w:rPr>
        <w:t>【待作者和通讯作者补充基金项目中文/英文名称及编号；如无资助，按期刊要求声明。】</w:t>
      </w:r>
    </w:p>
    <w:p>
      <w:pPr>
        <w:pStyle w:val="Heading1"/>
      </w:pPr>
      <w:r>
        <w:rPr>
          <w:rFonts w:ascii="Times New Roman" w:hAnsi="Times New Roman" w:eastAsia="Songti SC"/>
        </w:rPr>
        <w:t>作者贡献</w:t>
      </w:r>
    </w:p>
    <w:p>
      <w:r>
        <w:rPr>
          <w:rFonts w:ascii="Times New Roman" w:hAnsi="Times New Roman" w:eastAsia="Songti SC"/>
        </w:rPr>
        <w:t>姜皓：概念设计、方法设计、软件、数据整理、可视化、初稿撰写。王玉杰：概念设计、研究指导、项目管理、论文审阅与修改。</w:t>
      </w:r>
    </w:p>
    <w:p>
      <w:pPr>
        <w:pStyle w:val="Heading1"/>
      </w:pPr>
      <w:r>
        <w:rPr>
          <w:rFonts w:ascii="Times New Roman" w:hAnsi="Times New Roman" w:eastAsia="Songti SC"/>
        </w:rPr>
        <w:t>利益冲突声明</w:t>
      </w:r>
    </w:p>
    <w:p>
      <w:r>
        <w:rPr>
          <w:rFonts w:ascii="Times New Roman" w:hAnsi="Times New Roman" w:eastAsia="Songti SC"/>
        </w:rPr>
        <w:t>作者声明不存在利益冲突。</w:t>
      </w:r>
    </w:p>
    <w:p>
      <w:pPr>
        <w:pStyle w:val="Heading1"/>
      </w:pPr>
      <w:r>
        <w:rPr>
          <w:rFonts w:ascii="Times New Roman" w:hAnsi="Times New Roman" w:eastAsia="Songti SC"/>
        </w:rPr>
        <w:t>AI 工具使用声明</w:t>
      </w:r>
    </w:p>
    <w:p>
      <w:r>
        <w:rPr>
          <w:rFonts w:ascii="Times New Roman" w:hAnsi="Times New Roman" w:eastAsia="Songti SC"/>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Songti SC"/>
        </w:rPr>
        <w:t>参考文献</w:t>
      </w:r>
    </w:p>
    <w:p>
      <w:r>
        <w:rPr>
          <w:rFonts w:ascii="Times New Roman" w:hAnsi="Times New Roman" w:eastAsia="Songti SC"/>
        </w:rPr>
        <w:t>[1] WILKINSON M D, DUMONTIER M, AALBERSBERG I J, et al. The FAIR Guiding Principles for scientific data management and stewardship[J]. Scientific Data, 2016, 3: 160018. DOI: 10.1038/sdata.2016.18.</w:t>
      </w:r>
    </w:p>
    <w:p>
      <w:r>
        <w:rPr>
          <w:rFonts w:ascii="Times New Roman" w:hAnsi="Times New Roman" w:eastAsia="Songti SC"/>
        </w:rPr>
        <w:t>[2] CF CONVENTIONS COMMITTEE. CF Metadata Conventions[EB/OL]. [2026-08-07]. https://cfconventions.org/.</w:t>
      </w:r>
    </w:p>
    <w:p>
      <w:r>
        <w:rPr>
          <w:rFonts w:ascii="Times New Roman" w:hAnsi="Times New Roman" w:eastAsia="Songti SC"/>
        </w:rPr>
        <w:t>[3] GORELICK N, HANCHER M, DIXON M, et al. Google Earth Engine: Planetary-scale geospatial analysis for everyone[J]. Remote Sensing of Environment, 2017, 202: 18-27. DOI: 10.1016/j.rse.2017.06.031.</w:t>
      </w:r>
    </w:p>
    <w:p>
      <w:r>
        <w:rPr>
          <w:rFonts w:ascii="Times New Roman" w:hAnsi="Times New Roman" w:eastAsia="Songti SC"/>
        </w:rPr>
        <w:t>[4] WANG Y, KÖHLER P, BRAGHIERE R K, et al. GriddingMachine, a database and software for Earth system modeling at global and regional scales[J]. Scientific Data, 2022, 9: 258. DOI: 10.1038/s41597-022-01346-x.</w:t>
      </w:r>
    </w:p>
    <w:p>
      <w:r>
        <w:rPr>
          <w:rFonts w:ascii="Times New Roman" w:hAnsi="Times New Roman" w:eastAsia="Songti SC"/>
        </w:rPr>
        <w:t>[5] REW R, DAVIS G. NetCDF: An interface for scientific data access[J]. IEEE Computer Graphics and Applications, 1990, 10(4): 76-82. DOI: 10.1109/38.56302.</w:t>
      </w:r>
    </w:p>
    <w:p>
      <w:r>
        <w:rPr>
          <w:rFonts w:ascii="Times New Roman" w:hAnsi="Times New Roman" w:eastAsia="Songti SC"/>
        </w:rPr>
        <w:t>[6] HERSBACH H, BELL B, BERRISFORD P, et al. The ERA5 global reanalysis[J]. Quarterly Journal of the Royal Meteorological Society, 2020, 146(730): 1999-2049. DOI: 10.1002/qj.3803.</w:t>
      </w:r>
    </w:p>
    <w:p>
      <w:r>
        <w:rPr>
          <w:rFonts w:ascii="Times New Roman" w:hAnsi="Times New Roman" w:eastAsia="Songti SC"/>
        </w:rPr>
        <w:t>[7] HUANG B, LIU C, BANZON V, et al. Improvements of the Daily Optimum Interpolation Sea Surface Temperature (DOISST) Version 2.1[J]. Journal of Climate, 2021, 34(8): 2923-2939. DOI: 10.1175/JCLI-D-20-0166.1.</w:t>
      </w:r>
    </w:p>
    <w:p>
      <w:r>
        <w:rPr>
          <w:rFonts w:ascii="Times New Roman" w:hAnsi="Times New Roman" w:eastAsia="Songti SC"/>
        </w:rPr>
        <w:t>[8] COPERNICUS CLIMATE CHANGE SERVICE. Conversion table for accumulated variables (total precipitation/fluxes): ERA5 reanalysis hourly data[EB/OL]. https://confluence.ecmwf.int/pages/viewpage.action?pageId=216478200.</w:t>
      </w:r>
    </w:p>
    <w:p>
      <w:r>
        <w:rPr>
          <w:rFonts w:ascii="Times New Roman" w:hAnsi="Times New Roman" w:eastAsia="Songti SC"/>
        </w:rPr>
        <w:t>[9] MAHECHA M D, GANS F, BRANDT G, et al. Earth system data cubes unravel global multivariate dynamics[J]. Earth System Dynamics, 2020, 11: 201-234. DOI: 10.5194/esd-11-201-2020.</w:t>
      </w:r>
    </w:p>
    <w:p>
      <w:r>
        <w:rPr>
          <w:rFonts w:ascii="Times New Roman" w:hAnsi="Times New Roman" w:eastAsia="Songti SC"/>
        </w:rPr>
        <w:t>[10] BEZANSON J, EDELMAN A, KARPINSKI S, et al. Julia: A fresh approach to numerical computing[J]. SIAM Review, 2017, 59(1): 65-98. DOI: 10.1137/141000671.</w:t>
      </w:r>
    </w:p>
    <w:p>
      <w:r>
        <w:rPr>
          <w:rFonts w:ascii="Times New Roman" w:hAnsi="Times New Roman" w:eastAsia="Songti SC"/>
        </w:rPr>
        <w:t>[11]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rPr>
        <w:t>[12] ABERNATHEY R P, AUGSPURGER T, BANIHIRWE A, et al. Cloud-native repositories for big scientific data[J]. Computing in Science &amp; Engineering, 2021, 23(2): 26-35. DOI: 10.1109/MCSE.2021.3059437.</w:t>
      </w:r>
    </w:p>
    <w:p>
      <w:r>
        <w:rPr>
          <w:rFonts w:ascii="Times New Roman" w:hAnsi="Times New Roman" w:eastAsia="Songti SC"/>
        </w:rPr>
        <w:t>[13] STERN C, ABERNATHEY R, HAMMAN J, et al. Pangeo Forge: Crowdsourcing analysis-ready, cloud optimized data production[J]. Frontiers in Climate, 2022, 3: 782909. DOI: 10.3389/fclim.2021.782909.</w:t>
      </w:r>
    </w:p>
    <w:p>
      <w:r>
        <w:rPr>
          <w:rFonts w:ascii="Times New Roman" w:hAnsi="Times New Roman" w:eastAsia="Songti SC"/>
        </w:rPr>
        <w:t>[14]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Songti SC"/>
        </w:rPr>
        <w:t>[15] UIEDA L, SOLER S R, RAMPIN R, et al. Pooch: A friend to fetch your data files[J]. Journal of Open Source Software, 2020, 5(45): 1943. DOI: 10.21105/joss.01943.</w:t>
      </w:r>
    </w:p>
    <w:p>
      <w:r>
        <w:rPr>
          <w:rFonts w:ascii="Times New Roman" w:hAnsi="Times New Roman" w:eastAsia="Songti SC"/>
        </w:rPr>
        <w:t>[16] OPEN GEOSPATIAL CONSORTIUM. SpatioTemporal Asset Catalog (STAC) Community Standard, Version 1.1.0[S/OL]. OGC 25-004, 2025[2026-08-15]. https://www.ogc.org/standards/stac/.</w:t>
      </w:r>
    </w:p>
    <w:p>
      <w:r>
        <w:rPr>
          <w:rFonts w:ascii="Times New Roman" w:hAnsi="Times New Roman" w:eastAsia="Songti SC"/>
        </w:rPr>
        <w:t>[17] SMITH A M, KATZ D S, NIEMEYER K E, et al. Software citation principles[J]. PeerJ Computer Science, 2016, 2: e86. DOI: 10.7717/peerj-cs.86.</w:t>
      </w:r>
    </w:p>
    <w:p>
      <w:r>
        <w:rPr>
          <w:rFonts w:ascii="Times New Roman" w:hAnsi="Times New Roman" w:eastAsia="Songti SC"/>
        </w:rPr>
        <w:t>[18] BARKER M, CHUE HONG N P, KATZ D S, et al. Introducing the FAIR Principles for research software[J]. Scientific Data, 2022, 9: 622. DOI: 10.1038/s41597-022-01710-x.</w:t>
      </w:r>
    </w:p>
    <w:p>
      <w:r>
        <w:rPr>
          <w:rFonts w:ascii="Times New Roman" w:hAnsi="Times New Roman" w:eastAsia="Songti SC"/>
        </w:rPr>
        <w:t>[19] LIN D, CRABTREE J, DILLO I, et al. The TRUST Principles for digital repositories[J]. Scientific Data, 2020, 7: 144. DOI: 10.1038/s41597-020-0486-7.</w:t>
      </w:r>
    </w:p>
    <w:p>
      <w:r>
        <w:rPr>
          <w:rFonts w:ascii="Times New Roman" w:hAnsi="Times New Roman" w:eastAsia="Songti SC"/>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面向地球系统模式的全球网格数据库：GriddingMachine框架更新与应用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