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构建贯通数据生产、质量控制、多镜像分发、统一读取和模型调用的数据生命周期框架。新版以共享配置规范（schema）和YAML驱动源维度映射、坐标转换、数值变换与缺失值填补（Gapfill），采用独立目录管理逻辑路径、镜像地址及完整性元数据，通过直接NetCDF和事务式缓存实现可信获取。应用端进一步提供标签驱动的标准网格数据访问、格点尺度陆面参数融合与气象驱动组织，实现标准产品向模型就绪输入的转换。NOAA最优插值海表温度（OISST）V2.1产品由四维源结构转换为1440×720标准网格，691 150个有效格点与独立参考逐点一致；两个内部压缩产品采用直接NetCDF后，缓存预热的端到端中位时间在两个独立运行环境中分别降低48.3%～82.9%和53.6%～69.2%；校园网内4个代表性产品经FTP和Zenodo完成24次下载，文件大小与SHA-256均与目录登记值一致；14类陆面产品生成US-NR1参数字典并进入Emerald模型初始化。新版GriddingMachine由此形成面向全球规则网格数据的可配置生产、可信分发和模型就绪应用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Production and Trustworthy Distribution of Global Gridded Data for Earth System Models: Framework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develops GriddingMachine as an integrated lifecycle framework for data production, quality control, multi-mirror distribution, unified reading, and model use. A shared schema and YAML configuration drive source-dimension mapping, coordinate and numerical transformations, and gap filling; an independent catalog manages logical paths, mirrors, and integrity metadata; and direct NetCDF with transactional caching supports verified acquisition. The application layer further provides tag-based access to standardized gridded data, grid-scale synthesis of land parameters, and assembly of meteorological forcing, converting standardized products into model-ready inputs. A NOAA Optimum Interpolation Sea Surface Temperature (OISST) V2.1 product was transformed from a four-dimensional source structure to a standardized 1440 × 720 grid, with 691,150 finite cells matching an independently decoded reference point by point. Direct NetCDF reduced median warm-cache end-to-end time for two internally compressed products by 48.3%–82.9% and 53.6%–69.2% in two independent runtime environments. Four representative products were downloaded 24 times from FTP and Zenodo on the campus network, with file sizes and SHA-256 digests matching their catalog records. Fourteen land products generated a parameter dictionary for US-NR1 and entered Emerald model initialization. The updated GriddingMachine provides a lightweight infrastructure for configurable production, integrity-aware distribution, and model-ready use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w:t>
      </w:r>
    </w:p>
    <w:p>
      <w:r>
        <w:rPr>
          <w:rFonts w:ascii="Times New Roman" w:hAnsi="Times New Roman" w:eastAsia="宋体"/>
        </w:rPr>
        <w:t>本文以这些既有设计为基础，将数据源专用处理提升为共享、可复用的生产契约，使数据目录具备独立演化能力，以事务缓存支持直接NetCDF获取，并通过统一接口组织模型输入。旧版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内容完整性保障—模型输入组织”的领域闭环。</w:t>
      </w:r>
    </w:p>
    <w:p>
      <w:r>
        <w:rPr>
          <w:rFonts w:ascii="Times New Roman" w:hAnsi="Times New Roman" w:eastAsia="宋体"/>
        </w:rPr>
        <w:t>本研究将GriddingMachine由标准数据集合与标签化访问工具扩展为面向全球规则网格数据的可执行生命周期框架。其核心推进体现在三个相互衔接的层面：生产端以共享YAML契约统一表达源维度、坐标、数值变换、Gapfill和质量控制，形成可复用的标准NetCDF生产流程；分发端以独立目录连接机构FTP、Zenodo及其他社区镜像，并通过直接NetCDF、事务式缓存和</w:t>
      </w:r>
      <w:r>
        <w:rPr>
          <w:rFonts w:ascii="Consolas" w:hAnsi="Consolas" w:eastAsia="等线"/>
        </w:rPr>
        <w:t>SIZE/SHA256</w:t>
      </w:r>
      <w:r>
        <w:rPr>
          <w:rFonts w:ascii="Times New Roman" w:hAnsi="Times New Roman" w:eastAsia="宋体"/>
        </w:rPr>
        <w:t>构建内容一致的可信分发链；应用端以统一读取和模型输入组织连接标准数据产品与Emerald。</w:t>
      </w:r>
    </w:p>
    <w:p>
      <w:r>
        <w:rPr>
          <w:rFonts w:ascii="Times New Roman" w:hAnsi="Times New Roman" w:eastAsia="宋体"/>
        </w:rPr>
        <w:t>本文通过OISST产品转换、高程（ELEV）与叶面积指数（LAI）产品分发效率、FTP—Zenodo镜像访问和由14类土壤、植被、地形及陆地掩膜产品组成的陆面参数集合应用，分别呈现该框架的标准化正确性、数据获取效率、内容完整性和模型适配能力。</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GriddingMachine从2022版基线到新版端到端工作流的架构更新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以共享YAML契约连接异构源数据、标准化与质量控制、标准NetCDF产品、独立数据目录、事务式获取以及统一读取和模型调用，形成贯通数据生产、可信分发与模型应用的端到端工作流；（c）O1—O5依次表示统一数据契约、简化数据制品、目录独立演化、事务式下载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end-to-end workflow.</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workflow uses a shared YAML contract to connect heterogeneous source data, standardization and quality control, standard NetCDF products, an independent catalog, transactional acquisition, and unified reading and model invocation, thereby integrating data production, trusted distribution, and model application. (c) O1--O5 denote the unified data contract, simplified data artifacts, independent catalog evolution, transactional downloads, and model-ready interfaces. Orange dashed lines map these updates to the corresponding baseline components and core nodes in the updated workflow.</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生产引擎依据配置枚举输入，依次完成读取、标准化、质量控制和保存，最终生成以统一标签命名的NetCDF产品。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镜像地址、文件字节数和SHA-256；目录生成过程从权威标准文件计算完整性元数据并以事务方式写入YAML。目录与访问软件分开维护，使数据产品列表及其分发位置能够独立演化。</w:t>
      </w:r>
    </w:p>
    <w:p>
      <w:r>
        <w:rPr>
          <w:rFonts w:ascii="Times New Roman" w:hAnsi="Times New Roman" w:eastAsia="宋体"/>
        </w:rPr>
        <w:t>在数据使用端，目录管理模块显式设置数据根目录与目录来源。目录更新经临时文件完成schema校验和事务式替换，并保留上一有效版本。产品获取模块提取各镜像地址的主机名，以可获得的平均往返延迟辅助确定候选顺序，同时保留全部镜像并依次回退。每次传输创建独立临时文件，文件通过字节数和SHA-256核验后进入正式数据目录。本文所称“可信分发”即由版本化目录、等价镜像、事务落盘和内容完整性校验共同构成的获取机制。</w:t>
      </w:r>
    </w:p>
    <w:p>
      <w:r>
        <w:rPr>
          <w:rFonts w:ascii="Times New Roman" w:hAnsi="Times New Roman" w:eastAsia="宋体"/>
        </w:rPr>
        <w:t>数据读取层提供标签驱动的整场、指定周期及站点读取，并进一步完成格点尺度陆面参数融合与气象驱动组织。由14类产品组成的第二套陆面参数集合（代码标识为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）贯通参数组织链路并进入Emerald初始化，使可信分发的数据产品直接进入模型应用。</w:t>
      </w:r>
    </w:p>
    <w:p>
      <w:r>
        <w:rPr>
          <w:rFonts w:ascii="Times New Roman" w:hAnsi="Times New Roman" w:eastAsia="宋体"/>
        </w:rPr>
        <w:t>共享YAML、独立目录与统一读取接口共同改变了GriddingMachine的维护单元：数据处理规则由配置契约表达，数据产品与镜像由目录版本管理，模型应用继续使用稳定标签。数据产品、分发目录和访问软件由此能够在保持接口一致的条件下分别演化，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Times New Roman" w:hAnsi="Times New Roman" w:eastAsia="宋体"/>
                <w:sz w:val="18"/>
              </w:rPr>
              <w:t>陆面参数融合与气象驱动组织</w:t>
            </w:r>
          </w:p>
        </w:tc>
        <w:tc>
          <w:tcPr>
            <w:tcW w:type="dxa" w:w="2295"/>
          </w:tcPr>
          <w:p>
            <w:r>
              <w:rPr>
                <w:sz w:val="18"/>
              </w:rPr>
            </w:r>
            <w:r>
              <w:rPr>
                <w:rFonts w:ascii="Times New Roman" w:hAnsi="Times New Roman" w:eastAsia="宋体"/>
                <w:sz w:val="18"/>
              </w:rPr>
              <w:t>标准产品进入Emerald参数组织与模型初始化</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schema、程序化与交互式配置生成及显式源维度映射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YAML驱动的标准数据生产</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3060"/>
          </w:tcPr>
          <w:p>
            <w:r>
              <w:rPr>
                <w:sz w:val="18"/>
              </w:rPr>
            </w:r>
            <w:r>
              <w:rPr>
                <w:rFonts w:ascii="Times New Roman" w:hAnsi="Times New Roman" w:eastAsia="宋体"/>
                <w:sz w:val="18"/>
              </w:rPr>
              <w:t>输出文件保留变量语义与主要转换过程</w:t>
            </w:r>
          </w:p>
        </w:tc>
      </w:tr>
      <w:tr>
        <w:tc>
          <w:tcPr>
            <w:tcW w:type="dxa" w:w="3060"/>
          </w:tcPr>
          <w:p>
            <w:r>
              <w:rPr>
                <w:sz w:val="18"/>
              </w:rPr>
            </w:r>
            <w:r>
              <w:rPr>
                <w:rFonts w:ascii="Times New Roman" w:hAnsi="Times New Roman" w:eastAsia="宋体"/>
                <w:sz w:val="18"/>
              </w:rPr>
              <w:t>处理记录</w:t>
            </w:r>
          </w:p>
        </w:tc>
        <w:tc>
          <w:tcPr>
            <w:tcW w:type="dxa" w:w="3060"/>
          </w:tcPr>
          <w:p>
            <w:r>
              <w:rPr>
                <w:sz w:val="18"/>
              </w:rPr>
            </w:r>
            <w:r>
              <w:rPr>
                <w:rFonts w:ascii="Times New Roman" w:hAnsi="Times New Roman" w:eastAsia="宋体"/>
                <w:sz w:val="18"/>
              </w:rPr>
              <w:t>YAML声明维度、坐标、数值与Gapfill规则；NetCDF属性写入逐项变更记录</w:t>
            </w:r>
          </w:p>
        </w:tc>
        <w:tc>
          <w:tcPr>
            <w:tcW w:type="dxa" w:w="3060"/>
          </w:tcPr>
          <w:p>
            <w:r>
              <w:rPr>
                <w:sz w:val="18"/>
              </w:rPr>
            </w:r>
            <w:r>
              <w:rPr>
                <w:rFonts w:ascii="Times New Roman" w:hAnsi="Times New Roman" w:eastAsia="宋体"/>
                <w:sz w:val="18"/>
              </w:rPr>
              <w:t>配置意图与产品处理历史相互对应</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3060"/>
          </w:tcPr>
          <w:p>
            <w:r>
              <w:rPr>
                <w:sz w:val="18"/>
              </w:rPr>
            </w:r>
            <w:r>
              <w:rPr>
                <w:rFonts w:ascii="Times New Roman" w:hAnsi="Times New Roman" w:eastAsia="宋体"/>
                <w:sz w:val="18"/>
              </w:rPr>
              <w:t>配置、输入与代码版本共同重建标准产品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。显式schema版本既承接既有配置，也为配置契约的持续演化建立清晰边界。</w:t>
      </w:r>
    </w:p>
    <w:p>
      <w:r>
        <w:rPr>
          <w:rFonts w:ascii="Times New Roman" w:hAnsi="Times New Roman" w:eastAsia="宋体"/>
        </w:rPr>
        <w:t>数据贡献示例使用二维非对称参考数据呈现配置与处理操作的对应关系。源变量采用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，逐点结果与独立参考数组一致。框1保留维度、坐标、数值和Gapfill等核心字段，完整字段字典、命令及目录组织由版本化数据贡献指南提供。</w:t>
      </w:r>
    </w:p>
    <w:p>
      <w:r>
        <w:rPr>
          <w:rFonts w:ascii="Times New Roman" w:hAnsi="Times New Roman" w:eastAsia="宋体"/>
          <w:b/>
        </w:rPr>
        <w:t>框1 二维源数据标准化的YAML核心配置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"Two-dimensional contributor example"</w:t>
        <w:br/>
        <w:t xml:space="preserve">  CHANGE_LOGS: []</w:t>
        <w:br/>
        <w:t xml:space="preserve">  LABEL: ["source"]</w:t>
        <w:br/>
        <w:t xml:space="preserve">  UNIT: "1"</w:t>
        <w:br/>
        <w:t xml:space="preserve">  DIMENSIONS:</w:t>
        <w:br/>
        <w:t xml:space="preserve">    source: ["lat", "lon"]</w:t>
        <w:br/>
        <w:t xml:space="preserve">  REV_LAT: true</w:t>
        <w:br/>
        <w:t xml:space="preserve">  FLIP_LON: true</w:t>
        <w:br/>
        <w:t xml:space="preserve">  SCALING: "linear"</w:t>
        <w:br/>
        <w:t xml:space="preserve">  SCALING_FACTOR: [2, 1]</w:t>
        <w:br/>
        <w:t xml:space="preserve">  LIMITS: [23, 49]</w:t>
        <w:br/>
        <w:t xml:space="preserve">  GAPFILL: "KEEP_AS_IS"</w:t>
        <w:br/>
        <w:t xml:space="preserve">  VERIFY_ONCE: false</w:t>
        <w:br/>
        <w:t>GRIDDINGMACHINE:</w:t>
        <w:br/>
        <w:t xml:space="preserve">  TAG: "CONTRIB"</w:t>
      </w:r>
    </w:p>
    <w:p>
      <w:r>
        <w:rPr>
          <w:rFonts w:ascii="Times New Roman" w:hAnsi="Times New Roman" w:eastAsia="宋体"/>
        </w:rPr>
        <w:t>配置构建器接收文件命名、变量标签、分辨率、时间尺度、版本、输入输出目录、单位、数值范围、缩放、坐标方向和GriddingMachine标签等结构化输入，并生成YAML配置。该构建器在代码中实现为</w:t>
      </w:r>
      <w:r>
        <w:rPr>
          <w:rFonts w:ascii="Consolas" w:hAnsi="Consolas" w:eastAsia="等线"/>
        </w:rPr>
        <w:t>YamlBuilder</w:t>
      </w:r>
      <w:r>
        <w:rPr>
          <w:rFonts w:ascii="Times New Roman" w:hAnsi="Times New Roman" w:eastAsia="宋体"/>
        </w:rPr>
        <w:t>，通过统一字段名称、层级和默认值，使贡献者能够将数据源约定稳定转换为可执行配置。</w:t>
      </w:r>
    </w:p>
    <w:p>
      <w:r>
        <w:rPr>
          <w:rFonts w:ascii="Times New Roman" w:hAnsi="Times New Roman" w:eastAsia="宋体"/>
        </w:rPr>
        <w:t>配置构建器与生产流水线调用同一schema；其输出采用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字段信息在源数据读取前完成解析。框架同时提供本地交互式配置界面，支持表单输入、YAML预览与保存，生成结果可直接进入标准产品生产流程。框1、交互式生成器和版本化指南共同构成面向贡献者的配置范式。</w:t>
      </w:r>
    </w:p>
    <w:p>
      <w:pPr>
        <w:pStyle w:val="Heading3"/>
      </w:pPr>
      <w:r>
        <w:rPr>
          <w:rFonts w:ascii="Times New Roman" w:hAnsi="Times New Roman" w:eastAsia="宋体"/>
        </w:rPr>
        <w:t>2.2.3 生产流程与质量控制</w:t>
      </w:r>
    </w:p>
    <w:p>
      <w:r>
        <w:rPr>
          <w:rFonts w:ascii="Times New Roman" w:hAnsi="Times New Roman" w:eastAsia="宋体"/>
        </w:rPr>
        <w:t>标准产品生产引擎（</w:t>
      </w:r>
      <w:r>
        <w:rPr>
          <w:rFonts w:ascii="Consolas" w:hAnsi="Consolas" w:eastAsia="等线"/>
        </w:rPr>
        <w:t>process_dataset!</w:t>
      </w:r>
      <w:r>
        <w:rPr>
          <w:rFonts w:ascii="Times New Roman" w:hAnsi="Times New Roman" w:eastAsia="宋体"/>
        </w:rPr>
        <w:t>）首先根据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生产流水线完成维度与数值转换后，对待保存数组开展空间方向检查。检查过程依据变量维度名生成带经纬度坐标轴的方向图；二维数据以静态图呈现，三维数据沿周期维形成动态图。维护者据此确认南北方向、东西方向和经度平移结果，YAML中的</w:t>
      </w:r>
      <w:r>
        <w:rPr>
          <w:rFonts w:ascii="Consolas" w:hAnsi="Consolas" w:eastAsia="等线"/>
        </w:rPr>
        <w:t>VERIFY_ONCE</w:t>
      </w:r>
      <w:r>
        <w:rPr>
          <w:rFonts w:ascii="Times New Roman" w:hAnsi="Times New Roman" w:eastAsia="宋体"/>
        </w:rPr>
        <w:t>用于管理同一配置组合的首次确认状态。</w:t>
      </w:r>
    </w:p>
    <w:p>
      <w:r>
        <w:rPr>
          <w:rFonts w:ascii="Times New Roman" w:hAnsi="Times New Roman" w:eastAsia="宋体"/>
        </w:rPr>
        <w:t>这一过程用于识别南北方向、东西方向和经度平移状态。方向正确与南北反转的非对称位置编码图得到准确区分。人工空间判断与自动坐标、结构和逐点数值检查共同组成直观的方向质量控制体系。</w:t>
      </w:r>
    </w:p>
    <w:p>
      <w:r>
        <w:rPr>
          <w:rFonts w:ascii="Times New Roman" w:hAnsi="Times New Roman" w:eastAsia="宋体"/>
        </w:rPr>
        <w:t>对于已经生成的NetCDF文件，成品质量检查进一步核对空间覆盖类型、</w:t>
      </w:r>
      <w:r>
        <w:rPr>
          <w:rFonts w:ascii="Consolas" w:hAnsi="Consolas" w:eastAsia="等线"/>
        </w:rPr>
        <w:t>lon</w:t>
      </w:r>
      <w:r>
        <w:rPr>
          <w:rFonts w:ascii="Times New Roman" w:hAnsi="Times New Roman" w:eastAsia="宋体"/>
        </w:rPr>
        <w:t>和</w:t>
      </w:r>
      <w:r>
        <w:rPr>
          <w:rFonts w:ascii="Consolas" w:hAnsi="Consolas" w:eastAsia="等线"/>
        </w:rPr>
        <w:t>lat</w:t>
      </w:r>
      <w:r>
        <w:rPr>
          <w:rFonts w:ascii="Times New Roman" w:hAnsi="Times New Roman" w:eastAsia="宋体"/>
        </w:rPr>
        <w:t>维度、坐标变量及主变量</w:t>
      </w:r>
      <w:r>
        <w:rPr>
          <w:rFonts w:ascii="Consolas" w:hAnsi="Consolas" w:eastAsia="等线"/>
        </w:rPr>
        <w:t>data</w:t>
      </w:r>
      <w:r>
        <w:rPr>
          <w:rFonts w:ascii="Times New Roman" w:hAnsi="Times New Roman" w:eastAsia="宋体"/>
        </w:rPr>
        <w:t>；三维产品同时核对周期维</w:t>
      </w:r>
      <w:r>
        <w:rPr>
          <w:rFonts w:ascii="Consolas" w:hAnsi="Consolas" w:eastAsia="等线"/>
        </w:rPr>
        <w:t>ind</w:t>
      </w:r>
      <w:r>
        <w:rPr>
          <w:rFonts w:ascii="Times New Roman" w:hAnsi="Times New Roman" w:eastAsia="宋体"/>
        </w:rPr>
        <w:t>及各维长度的一致性。数值检查读取完整数组，统计有效值范围并与产品配置中的物理范围相互核对。</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陆地掩膜，逐层检查陆地区域。其他空间分辨率由专用规则承接。结构、范围和陆地掩膜检查与生产阶段的坐标方向、变量属性和处理记录共同构成标准产品的质量信息。</w:t>
      </w:r>
    </w:p>
    <w:p>
      <w:pPr>
        <w:pStyle w:val="Heading2"/>
      </w:pPr>
      <w:r>
        <w:rPr>
          <w:rFonts w:ascii="Times New Roman" w:hAnsi="Times New Roman" w:eastAsia="宋体"/>
        </w:rPr>
        <w:t>2.3 产品发布与独立数据目录</w:t>
      </w:r>
    </w:p>
    <w:p>
      <w:pPr>
        <w:pStyle w:val="Heading3"/>
      </w:pPr>
      <w:r>
        <w:rPr>
          <w:rFonts w:ascii="Times New Roman" w:hAnsi="Times New Roman" w:eastAsia="宋体"/>
        </w:rPr>
        <w:t>2.3.1 标签生成与目录登记</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。生成输出路径时，标签生成器读取当前数据目录并识别已有产品状态，以保持产品标识的唯一性。</w:t>
      </w:r>
    </w:p>
    <w:p>
      <w:r>
        <w:rPr>
          <w:rFonts w:ascii="Times New Roman" w:hAnsi="Times New Roman" w:eastAsia="宋体"/>
        </w:rPr>
        <w:t>数据发布与目录登记采用解耦设计。维护者在Zenodo、机构FTP或其他存储中发布标准产品，目录生成器根据标准NetCDF路径和公开地址生成逻辑路径、去重后的镜像列表、文件字节数和SHA-256，并按标签排序后通过临时文件更新</w:t>
      </w:r>
      <w:r>
        <w:rPr>
          <w:rFonts w:ascii="Consolas" w:hAnsi="Consolas" w:eastAsia="等线"/>
        </w:rPr>
        <w:t>Artifacts.yaml</w:t>
      </w:r>
      <w:r>
        <w:rPr>
          <w:rFonts w:ascii="Times New Roman" w:hAnsi="Times New Roman" w:eastAsia="宋体"/>
        </w:rPr>
        <w:t>，由此形成职责清晰、内容可校验的目录生成流程。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标准文件重新生成完整性元数据，镜像地址巡检则持续维护各分发副本的可访问性。</w:t>
      </w:r>
    </w:p>
    <w:p>
      <w:pPr>
        <w:pStyle w:val="Heading3"/>
      </w:pPr>
      <w:r>
        <w:rPr>
          <w:rFonts w:ascii="Times New Roman" w:hAnsi="Times New Roman" w:eastAsia="宋体"/>
        </w:rPr>
        <w:t>2.3.2 数据贡献与发布流程</w:t>
      </w:r>
    </w:p>
    <w:p>
      <w:r>
        <w:rPr>
          <w:rFonts w:ascii="Times New Roman" w:hAnsi="Times New Roman" w:eastAsia="宋体"/>
        </w:rPr>
        <w:t>一个新数据集进入GriddingMachine依次经历原始文件准备、YAML配置生成、标准产品生产、质量检查、NetCDF发布、目录登记以及下游更新与读取。质量检查覆盖维度、坐标、变量、数值范围、缺失值和空间方向；目录条目记录标签、逻辑路径、镜像地址、文件大小和SHA-256。机构FTP提高校内访问效率，Zenodo或其他公共存储面向社区提供长期访问，其他维护者也可在目录条目中增加内容相同的镜像。</w:t>
      </w:r>
    </w:p>
    <w:p>
      <w:r>
        <w:rPr>
          <w:rFonts w:ascii="Times New Roman" w:hAnsi="Times New Roman" w:eastAsia="宋体"/>
        </w:rPr>
        <w:t>数据贡献流程依据版本化指南贯通配置生成、标准化、质量检查、发布、目录登记和下游读取。最终NetCDF与目录项保持一致，并形成包含固定输入路径和完整YAML示例的贡献模板。</w:t>
      </w:r>
    </w:p>
    <w:p>
      <w:pPr>
        <w:pStyle w:val="Heading2"/>
      </w:pPr>
      <w:r>
        <w:rPr>
          <w:rFonts w:ascii="Times New Roman" w:hAnsi="Times New Roman" w:eastAsia="宋体"/>
        </w:rPr>
        <w:t>2.4 多镜像可信分发</w:t>
      </w:r>
    </w:p>
    <w:p>
      <w:pPr>
        <w:pStyle w:val="Heading3"/>
      </w:pPr>
      <w:r>
        <w:rPr>
          <w:rFonts w:ascii="Times New Roman" w:hAnsi="Times New Roman" w:eastAsia="宋体"/>
        </w:rPr>
        <w:t>2.4.1 目录初始化与更新</w:t>
      </w:r>
    </w:p>
    <w:p>
      <w:r>
        <w:rPr>
          <w:rFonts w:ascii="Consolas" w:hAnsi="Consolas" w:eastAsia="等线"/>
        </w:rPr>
        <w:t>GriddingMachine.jl</w:t>
      </w:r>
      <w:r>
        <w:rPr>
          <w:rFonts w:ascii="Times New Roman" w:hAnsi="Times New Roman" w:eastAsia="宋体"/>
        </w:rPr>
        <w:t>通过目录与数据获取模块（Collector）管理目录和标准产品。数据根目录、目录来源和本地目录文件均可显式配置；事务缓存区保存传输中的临时内容，正式数据区按照目录逻辑路径保存通过完整性校验的NetCDF。目录加载、版本更新和产品获取分别触发，使网络访问与科学数据读取保持清晰边界。</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r>
        <w:rPr>
          <w:rFonts w:ascii="Times New Roman" w:hAnsi="Times New Roman" w:eastAsia="宋体"/>
        </w:rPr>
        <w:t>目录更新既支持直接YAML地址，也支持从Zenodo落地页解析目录文件。新目录先写入临时路径，完成根节点解析和schema校验后再替换正式文件，同时保留上一有效版本。该事务过程将远端目录获取、结构确认和版本切换连接为一个完整操作。</w:t>
      </w:r>
    </w:p>
    <w:p>
      <w:r>
        <w:rPr>
          <w:rFonts w:ascii="Times New Roman" w:hAnsi="Times New Roman" w:eastAsia="宋体"/>
        </w:rPr>
        <w:t>该机制实现目录与软件版本分离，并以事务替换和备份恢复保护有效目录。目录入口同时支持直接YAML地址与Zenodo落地页解析，适配独立发布与持续更新的数据目录。</w:t>
      </w:r>
    </w:p>
    <w:p>
      <w:pPr>
        <w:pStyle w:val="Heading3"/>
      </w:pPr>
      <w:r>
        <w:rPr>
          <w:rFonts w:ascii="Times New Roman" w:hAnsi="Times New Roman" w:eastAsia="宋体"/>
        </w:rPr>
        <w:t>2.4.2 镜像选择与事务式缓存</w:t>
      </w:r>
    </w:p>
    <w:p>
      <w:r>
        <w:rPr>
          <w:rFonts w:ascii="Times New Roman" w:hAnsi="Times New Roman" w:eastAsia="宋体"/>
        </w:rPr>
        <w:t>产品获取接口（</w:t>
      </w:r>
      <w:r>
        <w:rPr>
          <w:rFonts w:ascii="Consolas" w:hAnsi="Consolas" w:eastAsia="等线"/>
        </w:rPr>
        <w:t>download_dataset!</w:t>
      </w:r>
      <w:r>
        <w:rPr>
          <w:rFonts w:ascii="Times New Roman" w:hAnsi="Times New Roman" w:eastAsia="宋体"/>
        </w:rPr>
        <w:t>）以数据标签为入口，统一组织目录刷新、正式文件复用和远端传输。下载阶段从每个FTP或HTTP(S)地址提取主机名，以可获得的平均往返延迟生成候选顺序；其余地址按目录顺序保留，全部镜像共同组成完整回退队列。</w:t>
      </w:r>
    </w:p>
    <w:p>
      <w:r>
        <w:rPr>
          <w:rFonts w:ascii="Times New Roman" w:hAnsi="Times New Roman" w:eastAsia="宋体"/>
        </w:rPr>
        <w:t>下载循环按候选顺序逐一尝试镜像，每次尝试均写入进程级唯一的临时文件。程序核对文件生成状态、字节数和SHA-256；校验通过后以原子移动进入正式路径，各次尝试的临时内容随当前状态独立回收。严格完整性模式要求目录同时提供字节数和摘要，兼容模式承接历史目录。镜像遍历完成后返回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核验共同确定数据产品的一致性。本文进一步在中科大校园网对同一文件分别执行FTP和Zenodo只读下载，以实际传输表现和SHA-256一致性共同评价镜像获取效果。</w:t>
      </w:r>
    </w:p>
    <w:p>
      <w:r>
        <w:rPr>
          <w:rFonts w:ascii="Times New Roman" w:hAnsi="Times New Roman" w:eastAsia="宋体"/>
        </w:rPr>
        <w:t>每次下载使用与标签和进程关联的独立临时文件，通过完整性校验后移动到正式路径。全库同步在更新目录后遍历标签并复用相同下载逻辑。小型目录参考数据呈现初始化、更新、同步、回退和清理行为，完整历史目录沿用同一事务机制开展批量维护。</w:t>
      </w:r>
    </w:p>
    <w:p>
      <w:r>
        <w:rPr>
          <w:rFonts w:ascii="Times New Roman" w:hAnsi="Times New Roman" w:eastAsia="宋体"/>
        </w:rPr>
        <w:t>镜像状态分析覆盖候选顺序、字节数、SHA-256、缓存恢复和镜像遍历等分发环节。跨操作系统运行与校园网FTP—Zenodo实测共同呈现“事务安全—镜像获取—内容一致”的分发链路。</w:t>
      </w:r>
    </w:p>
    <w:p>
      <w:r>
        <w:rPr>
          <w:rFonts w:ascii="Times New Roman" w:hAnsi="Times New Roman" w:eastAsia="宋体"/>
        </w:rPr>
        <w:t>目录与数据获取模块还提供全库同步、历史数据整理、目录树及数据集状态查询等维护接口。相关命令、参数和状态恢复方式集中列入补充材料与版本化用户指南，正文保留目录更新、镜像获取和内容完整性保障的核心机制。</w:t>
      </w:r>
    </w:p>
    <w:p>
      <w:pPr>
        <w:pStyle w:val="Heading2"/>
      </w:pPr>
      <w:r>
        <w:rPr>
          <w:rFonts w:ascii="Times New Roman" w:hAnsi="Times New Roman" w:eastAsia="宋体"/>
        </w:rPr>
        <w:t>2.5 统一读取与模型就绪接口</w:t>
      </w:r>
    </w:p>
    <w:p>
      <w:pPr>
        <w:pStyle w:val="Heading3"/>
      </w:pPr>
      <w:r>
        <w:rPr>
          <w:rFonts w:ascii="Times New Roman" w:hAnsi="Times New Roman" w:eastAsia="宋体"/>
        </w:rPr>
        <w:t>2.5.1 标准网格数据读取</w:t>
      </w:r>
    </w:p>
    <w:p>
      <w:r>
        <w:rPr>
          <w:rFonts w:ascii="Times New Roman" w:hAnsi="Times New Roman" w:eastAsia="宋体"/>
        </w:rPr>
        <w:t>标准网格数据读取接口支持以本地NetCDF路径或数据标签访问产品，并提供整场数组、指定周期切片、站点全部周期和站点指定周期4种读取方式。标签对应的产品可由目录模块自动获取；默认返回标准变量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。该接口在代码中实现为</w:t>
      </w:r>
      <w:r>
        <w:rPr>
          <w:rFonts w:ascii="Consolas" w:hAnsi="Consolas" w:eastAsia="等线"/>
        </w:rPr>
        <w:t>read_dataset</w:t>
      </w:r>
      <w:r>
        <w:rPr>
          <w:rFonts w:ascii="Times New Roman" w:hAnsi="Times New Roman" w:eastAsia="宋体"/>
        </w:rPr>
        <w:t>，并以</w:t>
      </w:r>
      <w:r>
        <w:rPr>
          <w:rFonts w:ascii="Consolas" w:hAnsi="Consolas" w:eastAsia="等线"/>
        </w:rPr>
        <w:t>read_LUT</w:t>
      </w:r>
      <w:r>
        <w:rPr>
          <w:rFonts w:ascii="Times New Roman" w:hAnsi="Times New Roman" w:eastAsia="宋体"/>
        </w:rPr>
        <w:t>兼容既有调用。读取层直接继承生产端统一的单位、缺失值和物理范围，使处理规则集中于共享生产契约。</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2.5.2 模型参数与气象驱动组织</w:t>
      </w:r>
    </w:p>
    <w:p>
      <w:r>
        <w:rPr>
          <w:rFonts w:ascii="Times New Roman" w:hAnsi="Times New Roman" w:eastAsia="宋体"/>
        </w:rPr>
        <w:t>格点尺度陆面参数组织接口（</w:t>
      </w:r>
      <w:r>
        <w:rPr>
          <w:rFonts w:ascii="Consolas" w:hAnsi="Consolas" w:eastAsia="等线"/>
        </w:rPr>
        <w:t>grid_dict</w:t>
      </w:r>
      <w:r>
        <w:rPr>
          <w:rFonts w:ascii="Times New Roman" w:hAnsi="Times New Roman" w:eastAsia="宋体"/>
        </w:rPr>
        <w:t>）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状态同步进入质量控制。多个标准产品由此形成结构一致的格点级模型输入。</w:t>
      </w:r>
    </w:p>
    <w:p>
      <w:r>
        <w:rPr>
          <w:rFonts w:ascii="Times New Roman" w:hAnsi="Times New Roman" w:eastAsia="宋体"/>
        </w:rPr>
        <w:t>格点尺度气象驱动接口（</w:t>
      </w:r>
      <w:r>
        <w:rPr>
          <w:rFonts w:ascii="Consolas" w:hAnsi="Consolas" w:eastAsia="等线"/>
        </w:rPr>
        <w:t>grid_weather</w:t>
      </w:r>
      <w:r>
        <w:rPr>
          <w:rFonts w:ascii="Times New Roman" w:hAnsi="Times New Roman" w:eastAsia="宋体"/>
        </w:rPr>
        <w:t>）按年份和格点读取气象驱动集合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标签驱动的数据访问、陆面参数融合与气象驱动组织共同构成模型就绪转换层。标准产品在这一层被组织为结构一致的陆面参数和逐时气象字段，并与Emerald模型的数据结构相衔接。</w:t>
      </w:r>
    </w:p>
    <w:p>
      <w:pPr>
        <w:pStyle w:val="Heading2"/>
      </w:pPr>
      <w:r>
        <w:rPr>
          <w:rFonts w:ascii="Times New Roman" w:hAnsi="Times New Roman" w:eastAsia="宋体"/>
        </w:rPr>
        <w:t>2.6 端到端数据流与公共接口</w:t>
      </w:r>
    </w:p>
    <w:p>
      <w:r>
        <w:rPr>
          <w:rFonts w:ascii="Times New Roman" w:hAnsi="Times New Roman" w:eastAsia="宋体"/>
        </w:rPr>
        <w:t>与2022版通过标签组织数据访问的思路一致[4]，新版将目录配置与更新、完整性下载、标准网格读取和模型输入组织连接为稳定的公共数据流。用户以数据标签发现产品，经镜像选择和内容校验获得标准NetCDF，再读取整场、周期或格点数据，并进一步形成陆面参数或气象驱动。公共接口依次对应环境配置（</w:t>
      </w:r>
      <w:r>
        <w:rPr>
          <w:rFonts w:ascii="Consolas" w:hAnsi="Consolas" w:eastAsia="等线"/>
        </w:rPr>
        <w:t>configure!</w:t>
      </w:r>
      <w:r>
        <w:rPr>
          <w:rFonts w:ascii="Times New Roman" w:hAnsi="Times New Roman" w:eastAsia="宋体"/>
        </w:rPr>
        <w:t>）、目录更新（</w:t>
      </w:r>
      <w:r>
        <w:rPr>
          <w:rFonts w:ascii="Consolas" w:hAnsi="Consolas" w:eastAsia="等线"/>
        </w:rPr>
        <w:t>update_database!</w:t>
      </w:r>
      <w:r>
        <w:rPr>
          <w:rFonts w:ascii="Times New Roman" w:hAnsi="Times New Roman" w:eastAsia="宋体"/>
        </w:rPr>
        <w:t>）、产品获取（</w:t>
      </w:r>
      <w:r>
        <w:rPr>
          <w:rFonts w:ascii="Consolas" w:hAnsi="Consolas" w:eastAsia="等线"/>
        </w:rPr>
        <w:t>download_dataset!</w:t>
      </w:r>
      <w:r>
        <w:rPr>
          <w:rFonts w:ascii="Times New Roman" w:hAnsi="Times New Roman" w:eastAsia="宋体"/>
        </w:rPr>
        <w:t>）、标准读取（</w:t>
      </w:r>
      <w:r>
        <w:rPr>
          <w:rFonts w:ascii="Consolas" w:hAnsi="Consolas" w:eastAsia="等线"/>
        </w:rPr>
        <w:t>read_dataset</w:t>
      </w:r>
      <w:r>
        <w:rPr>
          <w:rFonts w:ascii="Times New Roman" w:hAnsi="Times New Roman" w:eastAsia="宋体"/>
        </w:rPr>
        <w:t>）和模型输入组织（</w:t>
      </w:r>
      <w:r>
        <w:rPr>
          <w:rFonts w:ascii="Consolas" w:hAnsi="Consolas" w:eastAsia="等线"/>
        </w:rPr>
        <w:t>grid_dict</w:t>
      </w:r>
      <w:r>
        <w:rPr>
          <w:rFonts w:ascii="Times New Roman" w:hAnsi="Times New Roman" w:eastAsia="宋体"/>
        </w:rPr>
        <w:t>、</w:t>
      </w:r>
      <w:r>
        <w:rPr>
          <w:rFonts w:ascii="Consolas" w:hAnsi="Consolas" w:eastAsia="等线"/>
        </w:rPr>
        <w:t>grid_weather</w:t>
      </w:r>
      <w:r>
        <w:rPr>
          <w:rFonts w:ascii="Times New Roman" w:hAnsi="Times New Roman" w:eastAsia="宋体"/>
        </w:rPr>
        <w:t>）；完整Julia示例、配置字段字典、目录登记及状态恢复命令集中列入补充材料与版本化用户指南。</w:t>
      </w:r>
    </w:p>
    <w:p>
      <w:pPr>
        <w:pStyle w:val="Heading1"/>
      </w:pPr>
      <w:r>
        <w:rPr>
          <w:rFonts w:ascii="Times New Roman" w:hAnsi="Times New Roman" w:eastAsia="宋体"/>
        </w:rPr>
        <w:t>3 应用案例与评价方法</w:t>
      </w:r>
    </w:p>
    <w:p>
      <w:pPr>
        <w:pStyle w:val="Heading2"/>
      </w:pPr>
      <w:r>
        <w:rPr>
          <w:rFonts w:ascii="Times New Roman" w:hAnsi="Times New Roman" w:eastAsia="宋体"/>
        </w:rPr>
        <w:t>3.1 标准产品生产与OISST案例</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表3从维度（D）、坐标（C）、数值（N）、Gapfill（G）、YAML配置（Y）、输出（O）和空间方向检查（V）7个方面组织31组代表性处理实例。各组对应共享生产契约中的一个关键环节，并以结构、数值或产品状态表征标准化结果。</w:t>
      </w:r>
    </w:p>
    <w:p>
      <w:pPr>
        <w:ind w:firstLine="0"/>
      </w:pPr>
      <w:r>
        <w:rPr>
          <w:rFonts w:ascii="Times New Roman" w:hAnsi="Times New Roman" w:eastAsia="宋体"/>
          <w:b/>
        </w:rPr>
        <w:t>表3 GriddingMachineDatasets标准产品生产能力与质量控制</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实例数</w:t>
            </w:r>
          </w:p>
        </w:tc>
        <w:tc>
          <w:tcPr>
            <w:tcW w:type="dxa" w:w="2295"/>
            <w:shd w:fill="D9EAF7"/>
          </w:tcPr>
          <w:p>
            <w:r>
              <w:rPr>
                <w:b/>
                <w:sz w:val="18"/>
              </w:rPr>
            </w:r>
            <w:r>
              <w:rPr>
                <w:rFonts w:ascii="Times New Roman" w:hAnsi="Times New Roman" w:eastAsia="宋体"/>
                <w:b/>
                <w:sz w:val="18"/>
              </w:rPr>
              <w:t>主要内容</w:t>
            </w:r>
          </w:p>
        </w:tc>
        <w:tc>
          <w:tcPr>
            <w:tcW w:type="dxa" w:w="2295"/>
            <w:shd w:fill="D9EAF7"/>
          </w:tcPr>
          <w:p>
            <w:r>
              <w:rPr>
                <w:b/>
                <w:sz w:val="18"/>
              </w:rPr>
            </w:r>
            <w:r>
              <w:rPr>
                <w:rFonts w:ascii="Times New Roman" w:hAnsi="Times New Roman" w:eastAsia="宋体"/>
                <w:b/>
                <w:sz w:val="18"/>
              </w:rPr>
              <w:t>处理结果</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和维度约束</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Float32、线性缩放、有效范围和原值处理</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Gapfill</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w:t>
            </w:r>
            <w:r>
              <w:rPr>
                <w:rFonts w:ascii="Consolas" w:hAnsi="Consolas" w:eastAsia="等线"/>
                <w:sz w:val="18"/>
              </w:rPr>
              <w:t>nanmean</w:t>
            </w:r>
            <w:r>
              <w:rPr>
                <w:rFonts w:ascii="Times New Roman" w:hAnsi="Times New Roman" w:eastAsia="宋体"/>
                <w:sz w:val="18"/>
              </w:rPr>
              <w:t>、原值保持、陆地完整、全域完整和整数化</w:t>
            </w:r>
          </w:p>
        </w:tc>
        <w:tc>
          <w:tcPr>
            <w:tcW w:type="dxa" w:w="2295"/>
          </w:tcPr>
          <w:p>
            <w:r>
              <w:rPr>
                <w:sz w:val="18"/>
              </w:rPr>
            </w:r>
            <w:r>
              <w:rPr>
                <w:rFonts w:ascii="Times New Roman" w:hAnsi="Times New Roman" w:eastAsia="宋体"/>
                <w:sz w:val="18"/>
              </w:rPr>
              <w:t>填补位置、填充值、覆盖范围和处理记录</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配置解析、字段定位和产品生成</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、已有文件、标签状态</w:t>
            </w:r>
          </w:p>
        </w:tc>
        <w:tc>
          <w:tcPr>
            <w:tcW w:type="dxa" w:w="2295"/>
          </w:tcPr>
          <w:p>
            <w:r>
              <w:rPr>
                <w:sz w:val="18"/>
              </w:rPr>
            </w:r>
            <w:r>
              <w:rPr>
                <w:rFonts w:ascii="Times New Roman" w:hAnsi="Times New Roman" w:eastAsia="宋体"/>
                <w:sz w:val="18"/>
              </w:rPr>
              <w:t>变量、属性、版本策略和标签唯一性</w:t>
            </w:r>
          </w:p>
        </w:tc>
      </w:tr>
      <w:tr>
        <w:tc>
          <w:tcPr>
            <w:tcW w:type="dxa" w:w="2295"/>
          </w:tcPr>
          <w:p>
            <w:r>
              <w:rPr>
                <w:sz w:val="18"/>
              </w:rPr>
            </w:r>
            <w:r>
              <w:rPr>
                <w:rFonts w:ascii="Times New Roman" w:hAnsi="Times New Roman" w:eastAsia="宋体"/>
                <w:sz w:val="18"/>
              </w:rPr>
              <w:t>V 方向检查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正向图识别、反向图识别</w:t>
            </w:r>
          </w:p>
        </w:tc>
        <w:tc>
          <w:tcPr>
            <w:tcW w:type="dxa" w:w="2295"/>
          </w:tcPr>
          <w:p>
            <w:r>
              <w:rPr>
                <w:sz w:val="18"/>
              </w:rPr>
            </w:r>
            <w:r>
              <w:rPr>
                <w:rFonts w:ascii="Times New Roman" w:hAnsi="Times New Roman" w:eastAsia="宋体"/>
                <w:sz w:val="18"/>
              </w:rPr>
              <w:t>空间方向与坐标语义一致</w:t>
            </w:r>
          </w:p>
        </w:tc>
      </w:tr>
    </w:tbl>
    <w:p>
      <w:pPr>
        <w:ind w:firstLine="0"/>
      </w:pPr>
      <w:r>
        <w:rPr>
          <w:rFonts w:ascii="Times New Roman" w:hAnsi="Times New Roman" w:eastAsia="宋体"/>
          <w:b/>
        </w:rPr>
        <w:t>Table 3 Standardized-product production capabilities and quality control in GriddingMachineDatasets.</w:t>
      </w:r>
      <w:r>
        <w:rPr>
          <w:rFonts w:ascii="Times New Roman" w:hAnsi="Times New Roman" w:eastAsia="宋体"/>
        </w:rPr>
        <w:t xml:space="preserve"> The representative cases cover dimensions, coordinates, numerical transformations, gap filling, YAML configuration, product output, and spatial-orientation inspection.</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标准产品生产流程在各操作系统环境中保持一致行为。29组自动处理实例连续完成，正向图和南北反转图得到准确区分，体现了共享生产契约在数组变换、配置解析和空间方向控制方面的一致性。</w:t>
      </w:r>
    </w:p>
    <w:p>
      <w:r>
        <w:rPr>
          <w:rFonts w:ascii="Times New Roman" w:hAnsi="Times New Roman" w:eastAsia="宋体"/>
        </w:rPr>
        <w:t>配置构建器面向二维数据、含不确定性变量的三维数据和经纬度变换数据生成符合共享schema的配置，并将其直接交给标准产品生产引擎。数据贡献案例进一步贯通配置生成、标准化、自动与人工质量检查、产品发布、目录登记以及下游更新、下载和读取，形成面向数据贡献者的完整生产入口。</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多镜像可靠性与网络访问</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事务缓存区与正式数据区分别承担传输状态隔离和标准产品保存，整场、周期和站点读取共同连接目录与数据使用环节。</w:t>
      </w:r>
    </w:p>
    <w:p>
      <w:r>
        <w:rPr>
          <w:rFonts w:ascii="Times New Roman" w:hAnsi="Times New Roman" w:eastAsia="宋体"/>
        </w:rPr>
        <w:t>各状态转换通过重复调用考察幂等行为，上一有效版本和事务缓存共同承接目录与下载状态。确定性小型目录参考数据用于呈现全库同步与镜像遍历逻辑。</w:t>
      </w:r>
    </w:p>
    <w:p>
      <w:r>
        <w:rPr>
          <w:rFonts w:ascii="Times New Roman" w:hAnsi="Times New Roman" w:eastAsia="宋体"/>
        </w:rPr>
        <w:t>多镜像可靠性分析在两个独立环境中构建内容一致、访问状态可配置的镜像集合，通过延迟分数组织候选顺序，并设置13个代表性场景，覆盖镜像排序与回退、网络访问异常、缓存状态和文件内容完整性。每个场景在各环境中重复5次，记录候选选择、镜像遍历、正式文件状态及SHA-256，据此刻画事务式获取在镜像切换过程中的稳定性。校园网FTP与Zenodo访问进一步呈现机构镜像和公共镜像的互补分发特征与内容一致性。</w:t>
      </w:r>
    </w:p>
    <w:p>
      <w:r>
        <w:rPr>
          <w:rFonts w:ascii="Times New Roman" w:hAnsi="Times New Roman" w:eastAsia="宋体"/>
        </w:rPr>
        <w:t>镜像访问实验选取4个同时具有FTP和Zenodo地址且已登记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统一读取与模型就绪应用</w:t>
      </w:r>
    </w:p>
    <w:p>
      <w:r>
        <w:rPr>
          <w:rFonts w:ascii="Times New Roman" w:hAnsi="Times New Roman" w:eastAsia="宋体"/>
        </w:rPr>
        <w:t>模型就绪应用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陆面参数与气象驱动接口的输出可直接用于同一格点的Emerald初始化与首个气象时间步计算。字段映射、单位和维度在标准数据与模型接口之间保持一致，使GriddingMachine产品能够进入模型参数组织和时间步计算。</w:t>
      </w:r>
    </w:p>
    <w:p>
      <w:pPr>
        <w:pStyle w:val="Heading2"/>
      </w:pPr>
      <w:r>
        <w:rPr>
          <w:rFonts w:ascii="Times New Roman" w:hAnsi="Times New Roman" w:eastAsia="宋体"/>
        </w:rPr>
        <w:t>3.5 多操作系统环境运行与持续集成</w:t>
      </w:r>
    </w:p>
    <w:p>
      <w:r>
        <w:rPr>
          <w:rFonts w:ascii="Times New Roman" w:hAnsi="Times New Roman" w:eastAsia="宋体"/>
        </w:rPr>
        <w:t>跨操作系统运行覆盖Windows、macOS和Linux，采用本地运行与持续集成相结合的方式，贯通标准产品生产、ELEV/LAI分发、多镜像获取、Emerald最小模型流程和核心软件路径。统一的项目依赖和参考数据使数据结构、数值内容、正式文件状态与临时缓存行为保持一致。</w:t>
      </w:r>
    </w:p>
    <w:p>
      <w:r>
        <w:rPr>
          <w:rFonts w:ascii="Times New Roman" w:hAnsi="Times New Roman" w:eastAsia="宋体"/>
        </w:rPr>
        <w:t>持续集成使用确定性NetCDF参考数据维护代码路径、文件状态和内容完整性，独立运行环境进一步覆盖ELEV/LAI效率、FTP—Zenodo镜像访问和陆面参数集合应用，共同形成从自动维护到数据应用的分层运行体系。</w:t>
      </w:r>
    </w:p>
    <w:p>
      <w:pPr>
        <w:pStyle w:val="Heading1"/>
      </w:pPr>
      <w:r>
        <w:rPr>
          <w:rFonts w:ascii="Times New Roman" w:hAnsi="Times New Roman" w:eastAsia="宋体"/>
        </w:rPr>
        <w:t>4 结果与性能分析</w:t>
      </w:r>
    </w:p>
    <w:p>
      <w:r>
        <w:rPr>
          <w:rFonts w:ascii="Times New Roman" w:hAnsi="Times New Roman" w:eastAsia="宋体"/>
        </w:rPr>
        <w:t>新版GriddingMachine实现了从源数据配置到标准产品生成、从多镜像发布到可信获取、再到模型参数组织的完整链路。共享生产契约提升异构数据处理的一致性，独立目录和直接NetCDF简化产品维护与访问，事务式缓存增强多镜像获取的稳定性，统一接口进一步将标准数据连接到Emerald模型。主要功能与应用表现汇总于表4。</w:t>
      </w:r>
    </w:p>
    <w:p>
      <w:pPr>
        <w:ind w:firstLine="0"/>
      </w:pPr>
      <w:r>
        <w:rPr>
          <w:rFonts w:ascii="Times New Roman" w:hAnsi="Times New Roman" w:eastAsia="宋体"/>
          <w:b/>
        </w:rPr>
        <w:t>表4 新版GriddingMachine的主要改进与应用表现</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功能模块</w:t>
            </w:r>
          </w:p>
        </w:tc>
        <w:tc>
          <w:tcPr>
            <w:tcW w:type="dxa" w:w="3060"/>
            <w:shd w:fill="D9EAF7"/>
          </w:tcPr>
          <w:p>
            <w:r>
              <w:rPr>
                <w:b/>
                <w:sz w:val="18"/>
              </w:rPr>
            </w:r>
            <w:r>
              <w:rPr>
                <w:rFonts w:ascii="Times New Roman" w:hAnsi="Times New Roman" w:eastAsia="宋体"/>
                <w:b/>
                <w:sz w:val="18"/>
              </w:rPr>
              <w:t>核心机制</w:t>
            </w:r>
          </w:p>
        </w:tc>
        <w:tc>
          <w:tcPr>
            <w:tcW w:type="dxa" w:w="3060"/>
            <w:shd w:fill="D9EAF7"/>
          </w:tcPr>
          <w:p>
            <w:r>
              <w:rPr>
                <w:b/>
                <w:sz w:val="18"/>
              </w:rPr>
            </w:r>
            <w:r>
              <w:rPr>
                <w:rFonts w:ascii="Times New Roman" w:hAnsi="Times New Roman" w:eastAsia="宋体"/>
                <w:b/>
                <w:sz w:val="18"/>
              </w:rPr>
              <w:t>应用成果</w:t>
            </w:r>
          </w:p>
        </w:tc>
      </w:tr>
      <w:tr>
        <w:tc>
          <w:tcPr>
            <w:tcW w:type="dxa" w:w="3060"/>
          </w:tcPr>
          <w:p>
            <w:r>
              <w:rPr>
                <w:sz w:val="18"/>
              </w:rPr>
            </w:r>
            <w:r>
              <w:rPr>
                <w:rFonts w:ascii="Times New Roman" w:hAnsi="Times New Roman" w:eastAsia="宋体"/>
                <w:sz w:val="18"/>
              </w:rPr>
              <w:t>标准产品生产</w:t>
            </w:r>
          </w:p>
        </w:tc>
        <w:tc>
          <w:tcPr>
            <w:tcW w:type="dxa" w:w="3060"/>
          </w:tcPr>
          <w:p>
            <w:r>
              <w:rPr>
                <w:sz w:val="18"/>
              </w:rPr>
            </w:r>
            <w:r>
              <w:rPr>
                <w:rFonts w:ascii="Times New Roman" w:hAnsi="Times New Roman" w:eastAsia="宋体"/>
                <w:sz w:val="18"/>
              </w:rPr>
              <w:t>共享YAML schema、显式维度映射和Gapfill</w:t>
            </w:r>
          </w:p>
        </w:tc>
        <w:tc>
          <w:tcPr>
            <w:tcW w:type="dxa" w:w="3060"/>
          </w:tcPr>
          <w:p>
            <w:r>
              <w:rPr>
                <w:sz w:val="18"/>
              </w:rPr>
            </w:r>
            <w:r>
              <w:rPr>
                <w:rFonts w:ascii="Times New Roman" w:hAnsi="Times New Roman" w:eastAsia="宋体"/>
                <w:sz w:val="18"/>
              </w:rPr>
              <w:t>OISST源数据与独立参考逐点一致，二维和三维产品实现稳定生成</w:t>
            </w:r>
          </w:p>
        </w:tc>
      </w:tr>
      <w:tr>
        <w:tc>
          <w:tcPr>
            <w:tcW w:type="dxa" w:w="3060"/>
          </w:tcPr>
          <w:p>
            <w:r>
              <w:rPr>
                <w:sz w:val="18"/>
              </w:rPr>
            </w:r>
            <w:r>
              <w:rPr>
                <w:rFonts w:ascii="Times New Roman" w:hAnsi="Times New Roman" w:eastAsia="宋体"/>
                <w:sz w:val="18"/>
              </w:rPr>
              <w:t>数据制品</w:t>
            </w:r>
          </w:p>
        </w:tc>
        <w:tc>
          <w:tcPr>
            <w:tcW w:type="dxa" w:w="3060"/>
          </w:tcPr>
          <w:p>
            <w:r>
              <w:rPr>
                <w:sz w:val="18"/>
              </w:rPr>
            </w:r>
            <w:r>
              <w:rPr>
                <w:rFonts w:ascii="Times New Roman" w:hAnsi="Times New Roman" w:eastAsia="宋体"/>
                <w:sz w:val="18"/>
              </w:rPr>
              <w:t>直接NetCDF分发</w:t>
            </w:r>
          </w:p>
        </w:tc>
        <w:tc>
          <w:tcPr>
            <w:tcW w:type="dxa" w:w="3060"/>
          </w:tcPr>
          <w:p>
            <w:r>
              <w:rPr>
                <w:sz w:val="18"/>
              </w:rPr>
            </w:r>
            <w:r>
              <w:rPr>
                <w:rFonts w:ascii="Times New Roman" w:hAnsi="Times New Roman" w:eastAsia="宋体"/>
                <w:sz w:val="18"/>
              </w:rPr>
              <w:t>缓存预热后的端到端中位时间在两个独立运行环境中分别降低48.3%～82.9%和53.6%～69.2%</w:t>
            </w:r>
          </w:p>
        </w:tc>
      </w:tr>
      <w:tr>
        <w:tc>
          <w:tcPr>
            <w:tcW w:type="dxa" w:w="3060"/>
          </w:tcPr>
          <w:p>
            <w:r>
              <w:rPr>
                <w:sz w:val="18"/>
              </w:rPr>
            </w:r>
            <w:r>
              <w:rPr>
                <w:rFonts w:ascii="Times New Roman" w:hAnsi="Times New Roman" w:eastAsia="宋体"/>
                <w:sz w:val="18"/>
              </w:rPr>
              <w:t>目录与镜像</w:t>
            </w:r>
          </w:p>
        </w:tc>
        <w:tc>
          <w:tcPr>
            <w:tcW w:type="dxa" w:w="3060"/>
          </w:tcPr>
          <w:p>
            <w:r>
              <w:rPr>
                <w:sz w:val="18"/>
              </w:rPr>
            </w:r>
            <w:r>
              <w:rPr>
                <w:rFonts w:ascii="Times New Roman" w:hAnsi="Times New Roman" w:eastAsia="宋体"/>
                <w:sz w:val="18"/>
              </w:rPr>
              <w:t>独立目录、延迟辅助排序、多URL回退和事务缓存</w:t>
            </w:r>
          </w:p>
        </w:tc>
        <w:tc>
          <w:tcPr>
            <w:tcW w:type="dxa" w:w="3060"/>
          </w:tcPr>
          <w:p>
            <w:r>
              <w:rPr>
                <w:sz w:val="18"/>
              </w:rPr>
            </w:r>
            <w:r>
              <w:rPr>
                <w:rFonts w:ascii="Times New Roman" w:hAnsi="Times New Roman" w:eastAsia="宋体"/>
                <w:sz w:val="18"/>
              </w:rPr>
              <w:t>校园网FTP与Zenodo完成24次同文件下载，SHA-256摘要与目录登记值一致</w:t>
            </w:r>
          </w:p>
        </w:tc>
      </w:tr>
      <w:tr>
        <w:tc>
          <w:tcPr>
            <w:tcW w:type="dxa" w:w="3060"/>
          </w:tcPr>
          <w:p>
            <w:r>
              <w:rPr>
                <w:sz w:val="18"/>
              </w:rPr>
            </w:r>
            <w:r>
              <w:rPr>
                <w:rFonts w:ascii="Times New Roman" w:hAnsi="Times New Roman" w:eastAsia="宋体"/>
                <w:sz w:val="18"/>
              </w:rPr>
              <w:t>模型就绪访问</w:t>
            </w:r>
          </w:p>
        </w:tc>
        <w:tc>
          <w:tcPr>
            <w:tcW w:type="dxa" w:w="3060"/>
          </w:tcPr>
          <w:p>
            <w:r>
              <w:rPr>
                <w:sz w:val="18"/>
              </w:rPr>
            </w:r>
            <w:r>
              <w:rPr>
                <w:rFonts w:ascii="Times New Roman" w:hAnsi="Times New Roman" w:eastAsia="宋体"/>
                <w:sz w:val="18"/>
              </w:rPr>
              <w:t>标签驱动的数据访问、陆面参数融合和气象驱动组织</w:t>
            </w:r>
          </w:p>
        </w:tc>
        <w:tc>
          <w:tcPr>
            <w:tcW w:type="dxa" w:w="3060"/>
          </w:tcPr>
          <w:p>
            <w:r>
              <w:rPr>
                <w:sz w:val="18"/>
              </w:rPr>
            </w:r>
            <w:r>
              <w:rPr>
                <w:rFonts w:ascii="Times New Roman" w:hAnsi="Times New Roman" w:eastAsia="宋体"/>
                <w:sz w:val="18"/>
              </w:rPr>
              <w:t>14类陆面产品生成US-NR1参数字典并进入Emerald模型流程</w:t>
            </w:r>
          </w:p>
        </w:tc>
      </w:tr>
      <w:tr>
        <w:tc>
          <w:tcPr>
            <w:tcW w:type="dxa" w:w="3060"/>
          </w:tcPr>
          <w:p>
            <w:r>
              <w:rPr>
                <w:sz w:val="18"/>
              </w:rPr>
            </w:r>
            <w:r>
              <w:rPr>
                <w:rFonts w:ascii="Times New Roman" w:hAnsi="Times New Roman" w:eastAsia="宋体"/>
                <w:sz w:val="18"/>
              </w:rPr>
              <w:t>跨操作系统运行</w:t>
            </w:r>
          </w:p>
        </w:tc>
        <w:tc>
          <w:tcPr>
            <w:tcW w:type="dxa" w:w="3060"/>
          </w:tcPr>
          <w:p>
            <w:r>
              <w:rPr>
                <w:sz w:val="18"/>
              </w:rPr>
            </w:r>
            <w:r>
              <w:rPr>
                <w:rFonts w:ascii="Times New Roman" w:hAnsi="Times New Roman" w:eastAsia="宋体"/>
                <w:sz w:val="18"/>
              </w:rPr>
              <w:t>版本化依赖与持续集成</w:t>
            </w:r>
          </w:p>
        </w:tc>
        <w:tc>
          <w:tcPr>
            <w:tcW w:type="dxa" w:w="3060"/>
          </w:tcPr>
          <w:p>
            <w:r>
              <w:rPr>
                <w:sz w:val="18"/>
              </w:rPr>
            </w:r>
            <w:r>
              <w:rPr>
                <w:rFonts w:ascii="Times New Roman" w:hAnsi="Times New Roman" w:eastAsia="宋体"/>
                <w:sz w:val="18"/>
              </w:rPr>
              <w:t>多个操作系统环境保持一致的软件路径、数据结构与模型接口</w:t>
            </w:r>
          </w:p>
        </w:tc>
      </w:tr>
    </w:tbl>
    <w:p>
      <w:pPr>
        <w:ind w:firstLine="0"/>
      </w:pPr>
      <w:r>
        <w:rPr>
          <w:rFonts w:ascii="Times New Roman" w:hAnsi="Times New Roman" w:eastAsia="宋体"/>
          <w:b/>
        </w:rPr>
        <w:t>Table 4 Major advances and application performance of the updated GriddingMachine.</w:t>
      </w:r>
      <w:r>
        <w:rPr>
          <w:rFonts w:ascii="Times New Roman" w:hAnsi="Times New Roman" w:eastAsia="宋体"/>
        </w:rPr>
        <w:t xml:space="preserve"> The table summarizes standardized production, direct NetCDF distribution, multi-mirror acquisition, model-ready access, and cross-platform operation.</w:t>
      </w:r>
    </w:p>
    <w:p>
      <w:pPr>
        <w:pStyle w:val="Heading2"/>
      </w:pPr>
      <w:r>
        <w:rPr>
          <w:rFonts w:ascii="Times New Roman" w:hAnsi="Times New Roman" w:eastAsia="宋体"/>
        </w:rPr>
        <w:t>4.1 标准产品生产与OISST结果</w:t>
      </w:r>
    </w:p>
    <w:p>
      <w:r>
        <w:rPr>
          <w:rFonts w:ascii="Times New Roman" w:hAnsi="Times New Roman" w:eastAsia="宋体"/>
        </w:rPr>
        <w:t>共享YAML schema组织二维和三维数据的源维度重排、坐标变换、线性缩放、有效范围过滤与Gapfill，并将处理结果保存为统一的</w:t>
      </w:r>
      <w:r>
        <w:rPr>
          <w:rFonts w:ascii="Consolas" w:hAnsi="Consolas" w:eastAsia="等线"/>
        </w:rPr>
        <w:t>data/std</w:t>
      </w:r>
      <w:r>
        <w:rPr>
          <w:rFonts w:ascii="Times New Roman" w:hAnsi="Times New Roman" w:eastAsia="宋体"/>
        </w:rPr>
        <w:t>结构。配置构建器、生产流水线和目录生成器使用同一字段约定，使标准产品从源数据处理直接进入</w:t>
      </w:r>
      <w:r>
        <w:rPr>
          <w:rFonts w:ascii="Consolas" w:hAnsi="Consolas" w:eastAsia="等线"/>
        </w:rPr>
        <w:t>Artifacts.yaml</w:t>
      </w:r>
      <w:r>
        <w:rPr>
          <w:rFonts w:ascii="Times New Roman" w:hAnsi="Times New Roman" w:eastAsia="宋体"/>
        </w:rPr>
        <w:t>登记；目录条目同步生成</w:t>
      </w:r>
      <w:r>
        <w:rPr>
          <w:rFonts w:ascii="Consolas" w:hAnsi="Consolas" w:eastAsia="等线"/>
        </w:rPr>
        <w:t>SIZE</w:t>
      </w:r>
      <w:r>
        <w:rPr>
          <w:rFonts w:ascii="Times New Roman" w:hAnsi="Times New Roman" w:eastAsia="宋体"/>
        </w:rPr>
        <w:t>与SHA-256，为多镜像发布提供完整性信息。</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形成从源产品、共享YAML生产、完整性目录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（a）2022年2月25日全球海表温度标准产品；（b）有效格点纬向平均海表温度；（c）各纬度有效格点比例。标准产品为1440×720规则网格，691 150个有效格点与独立参考逐点一致。</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zonal mean sea-surface temperature over finite grid cells; and (c) fraction of finite grid cells by latitude. The 1440 × 720 product contains 691,150 finite cells that agree point by point with the independently decoded reference.</w:t>
      </w:r>
    </w:p>
    <w:p>
      <w:r>
        <w:rPr>
          <w:rFonts w:ascii="Times New Roman" w:hAnsi="Times New Roman" w:eastAsia="宋体"/>
        </w:rPr>
        <w:t>表3所列31组处理实例覆盖维度、坐标、数值、Gapfill、配置、输出和空间方向控制。各操作系统环境获得一致的产品结构和逐点数值结果，正向图与南北反转图得到准确区分，自动质量控制与人工空间检查共同维护标准产品的坐标语义。</w:t>
      </w:r>
    </w:p>
    <w:p>
      <w:r>
        <w:rPr>
          <w:rFonts w:ascii="Times New Roman" w:hAnsi="Times New Roman" w:eastAsia="宋体"/>
        </w:rPr>
        <w:t>数据贡献案例贯通YAML配置、标准产品生成、目录登记和下游读取，生成产品与参考数组逐点一致，目录中的文件字节数和SHA-256与产品相符。统一NetCDF读写层与配置对象复用机制进一步协调文件访问和批量生产，使二维/三维输出、坐标变换、数值处理、Gapfill和目录生成由同一工作流连接；完整YAML示例和固定输入路径共同构成可复用的数据贡献模板。</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评价分发效率，并在相互独立的操作系统环境中采用一致协议。两文件的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变量均采用NetCDF内部zlib压缩级别4，对照归档采用gzip压缩级别6。回环HTTP条件下，各“数据×形式”组合经过缓存预热并按随机顺序重复测量，解包后内容均通过SHA-256校验。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缓存预热后端到端中位时间在两个环境中分别降低48.3%～82.9%和53.6%～69.2%；两个样本的传输字节分别增加6.43%和2.16%。80次SHA-256摘要核验结果一致。对于已经采用NetCDF内部压缩的数据产品，直接分发减少了额外解包时间和逻辑临时占用。置信区间、绝对时间及完整图件保存在实验材料中。</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直接NetCDF与外层tar.gz分发的端到端时间比较</w:t>
      </w:r>
      <w:r>
        <w:rPr>
          <w:rFonts w:ascii="Times New Roman" w:hAnsi="Times New Roman" w:eastAsia="宋体"/>
        </w:rPr>
        <w:t xml:space="preserve"> （a）二维高程产品ELEV；（b）三维叶面积指数产品LAI。柱高为缓存预热后端到端时间中位数，误差线为95% Bootstrap置信区间；独立环境A和B采用相同输入文件与测量协议。柱上百分比表示直接NetCDF相对于外层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time for direct NetCDF and externally archived `tar.gz` distribution.</w:t>
      </w:r>
      <w:r>
        <w:rPr>
          <w:rFonts w:ascii="Times New Roman" w:hAnsi="Times New Roman" w:eastAsia="宋体"/>
        </w:rPr>
        <w:t xml:space="preserve"> (a) The two-dimensional ELEV product; (b) the three-dimensional LAI product. Bars show median warm-cache end-to-end time, and error bars show 95% bootstrap confidence intervals. Independent environments A and B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目录管理与可信多镜像分发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个受控场景在两个独立操作系统环境中分别重复5次，共形成130次获取记录。结果表明，目录与数据获取模块能够优先选择延迟较低的候选，同时保留全部镜像并依次回退。每次获取采用独立临时文件，内容经字节数和SHA-256确认后进入正式路径；所有记录均完成临时文件回收，既有正式文件摘要保持一致。</w:t>
      </w:r>
    </w:p>
    <w:p>
      <w:r>
        <w:rPr>
          <w:rFonts w:ascii="Times New Roman" w:hAnsi="Times New Roman" w:eastAsia="宋体"/>
        </w:rPr>
        <w:t>公共网络环境下，4个标签经Zenodo完成24次下载，全部达到登记字节数并通过SHA-256核验。下载时间随文件规模呈梯度变化，重复传输的SHA-256摘要与目录登记值一致，体现了公共镜像、事务缓存和完整性校验的协同作用。</w:t>
      </w:r>
    </w:p>
    <w:p>
      <w:r>
        <w:rPr>
          <w:rFonts w:ascii="Times New Roman" w:hAnsi="Times New Roman" w:eastAsia="宋体"/>
        </w:rPr>
        <w:t>中科大校园网环境下，FTP与Zenodo各完成12次同文件下载，24次结果均达到登记字节数并通过SHA-256核验。4个文件的FTP中位下载时间为0.071～0.356 s，Zenodo为1.091～14.092 s；FTP往返延迟为1.0～13.5 ms，延迟辅助排序与实际传输表现一致。机构镜像与公共镜像提供内容一致的分发副本，多镜像目录据此适配不同访问环境。</w:t>
      </w:r>
    </w:p>
    <w:p>
      <w:pPr>
        <w:pStyle w:val="Heading2"/>
      </w:pPr>
      <w:r>
        <w:rPr>
          <w:rFonts w:ascii="Times New Roman" w:hAnsi="Times New Roman" w:eastAsia="宋体"/>
        </w:rPr>
        <w:t>4.4 统一读取与模型就绪应用</w:t>
      </w:r>
    </w:p>
    <w:p>
      <w:r>
        <w:rPr>
          <w:rFonts w:ascii="Times New Roman" w:hAnsi="Times New Roman" w:eastAsia="宋体"/>
        </w:rPr>
        <w:t>标签驱动的数据访问实现整场、周期和站点读取以及经纬度索引；格点尺度陆面参数融合和气象驱动组织进一步覆盖植被、裸土和时间序列等模型输入场景。对应的公共接口分别为</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，并以</w:t>
      </w:r>
      <w:r>
        <w:rPr>
          <w:rFonts w:ascii="Consolas" w:hAnsi="Consolas" w:eastAsia="等线"/>
        </w:rPr>
        <w:t>read_LUT</w:t>
      </w:r>
      <w:r>
        <w:rPr>
          <w:rFonts w:ascii="Times New Roman" w:hAnsi="Times New Roman" w:eastAsia="宋体"/>
        </w:rPr>
        <w:t>兼容原有读取方式。GriddingMachine输出由此进入Emerald参数组织、气象组织、模型初始化和60 s单步计算，建立从标准数据读取到模型首个时间步的直接连接。</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pPr>
        <w:pStyle w:val="Heading2"/>
      </w:pPr>
      <w:r>
        <w:rPr>
          <w:rFonts w:ascii="Times New Roman" w:hAnsi="Times New Roman" w:eastAsia="宋体"/>
        </w:rPr>
        <w:t>4.5 多操作系统环境运行表现</w:t>
      </w:r>
    </w:p>
    <w:p>
      <w:r>
        <w:rPr>
          <w:rFonts w:ascii="Times New Roman" w:hAnsi="Times New Roman" w:eastAsia="宋体"/>
        </w:rPr>
        <w:t>各操作系统环境均可运行标准产品生产、直接NetCDF分发、多镜像获取和Emerald模型接口，并获得一致的数据结构、SHA-256摘要和模型字段。同一下载接口在各环境中实现延迟辅助排序、全候选保留和顺序回退，体现了核心代码路径的可移植性、数据接口的一致性及其对网络条件变化的适应能力。</w:t>
      </w:r>
    </w:p>
    <w:p>
      <w:r>
        <w:rPr>
          <w:rFonts w:ascii="Times New Roman" w:hAnsi="Times New Roman" w:eastAsia="宋体"/>
        </w:rPr>
        <w:t>公共网络中的Zenodo下载和校园网中的FTP—Zenodo对照均通过完整性核验。多网络环境结果共同展示了公共镜像与机构镜像的互补价值，以及全URL回退机制对访问条件变化的适应能力。</w:t>
      </w:r>
    </w:p>
    <w:p>
      <w:r>
        <w:rPr>
          <w:rFonts w:ascii="Times New Roman" w:hAnsi="Times New Roman" w:eastAsia="宋体"/>
        </w:rPr>
        <w:t>GriddingMachine、GriddingMachineDatasets、Emerald及研究材料仓库的跨操作系统持续集成工作流均保持自动执行。统一的项目依赖、参考数据和模型接口形成可持续维护机制，使软件更新能够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进一步形成共享配置契约、显式源维度映射、与软件版本解耦的数据目录、事务式多镜像获取和模型就绪接口。14类陆面产品、校园网FTP—Zenodo获取和跨操作系统运行共同展示这些能力，GriddingMachine由此从标准数据集合演进为连接生产、分发、读取和模型调用的数据生命周期框架。</w:t>
      </w:r>
    </w:p>
    <w:p>
      <w:r>
        <w:rPr>
          <w:rFonts w:ascii="Times New Roman" w:hAnsi="Times New Roman" w:eastAsia="宋体"/>
        </w:rPr>
        <w:t>新版框架在三个层次推进GriddingMachine：生产端以共享YAML契约连接维度、坐标、Gapfill和标准NetCDF，并由OISST产品展示异构维度、打包数值和经度体系的统一转换；分发端以独立目录、直接NetCDF与事务缓存连接机构镜像和公共镜像；应用端以统一读取、Emerald最小步进和14类陆面产品链路连接数据产品与模型。海温与陆面产品共同呈现框架在全球规则网格数据生命周期中的适用性。</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[10]；Pangeo倡导分析就绪、云优化数据以及计算与数据邻近的云原生模式[11]，Pangeo Forge进一步以可复用配方和目录组织分析就绪数据生产[12]。GriddingMachine与这些基础设施形成互补，面向经过选择和统一的全球规则网格产品，以及需要在Julia科学计算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标签驱动的数据访问、格点尺度陆面参数融合和气象驱动组织把标准产品转换为模型所需字段。Pangeo Forge侧重云端分析就绪数据生产的配方—基础设施分离[12]，本文流程侧重可直接下载的单体NetCDF、离线缓存、完整性落盘和固定模型接口。云优化分块格式适配超大规模近数据计算[11]，ESGF适配CMIP等机构联合治理[10]，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[13]；Pooch以文件名、URL和SHA-256注册表实现远端文件获取、本地缓存和完整性校验[14]；STAC为广泛地理空间资产提供通用元数据结构与查询标准[15]。GriddingMachine进一步面向规则网格和模型标签，将上游生产配置、标准NetCDF、事务式多镜像落盘和下游模型字段组织置于同一机器可执行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独立目录提高数据的可发现性，多URL和直接NetCDF增强获取能力，统一网格与变量约定促进互操作，文件级变更记录与发布级配置归档共同支撑复用[1]。FAIR4RS强调科研软件的可执行性、复合依赖、持续演化和版本管理[16]；TRUST原则进一步提出透明度、责任、用户关注、可持续性和技术能力[17]。对我国国家科学数据中心的调研也显示，标准化元数据、持久标识与清晰的数据使用信息是提升科学数据复用水平的重要环节[18]。</w:t>
      </w:r>
    </w:p>
    <w:p>
      <w:r>
        <w:rPr>
          <w:rFonts w:ascii="Times New Roman" w:hAnsi="Times New Roman" w:eastAsia="宋体"/>
        </w:rPr>
        <w:t>GriddingMachine以权威文件生成</w:t>
      </w:r>
      <w:r>
        <w:rPr>
          <w:rFonts w:ascii="Consolas" w:hAnsi="Consolas" w:eastAsia="等线"/>
        </w:rPr>
        <w:t>SIZE/SHA256</w:t>
      </w:r>
      <w:r>
        <w:rPr>
          <w:rFonts w:ascii="Times New Roman" w:hAnsi="Times New Roman" w:eastAsia="宋体"/>
        </w:rPr>
        <w:t>，通过下载后校验、目录事务替换和版本化依赖连接数据产品、目录与软件环境。OISST和ELEV案例进一步将配置、坐标、科学数组、文件摘要和读取结果纳入同一复现链，为软件与数据版本的共同引用提供基础[8]。</w:t>
      </w:r>
    </w:p>
    <w:p>
      <w:pPr>
        <w:pStyle w:val="Heading2"/>
      </w:pPr>
      <w:r>
        <w:rPr>
          <w:rFonts w:ascii="Times New Roman" w:hAnsi="Times New Roman" w:eastAsia="宋体"/>
        </w:rPr>
        <w:t>5.4 框架扩展与应用前景</w:t>
      </w:r>
    </w:p>
    <w:p>
      <w:r>
        <w:rPr>
          <w:rFonts w:ascii="Times New Roman" w:hAnsi="Times New Roman" w:eastAsia="宋体"/>
        </w:rPr>
        <w:t>共享YAML契约为历史产品迁移以及非规则网格、区域投影和复杂时间坐标的源适配提供统一入口；坐标单调性、值域、逐点数组断言与方向图能够进一步汇入同一质量报告。独立目录和多镜像机制也便于积累不同文件规模、网络条件与持续时间下的传输观测，从而持续优化候选排序和镜像组织。围绕OISST建立的异构产品生产链可自然扩展至多时段海洋与气象数据，结构化目录服务和永久软件归档则将增强数据发现、版本引用及跨团队复用能力。</w:t>
      </w:r>
    </w:p>
    <w:p>
      <w:r>
        <w:rPr>
          <w:rFonts w:ascii="Times New Roman" w:hAnsi="Times New Roman" w:eastAsia="宋体"/>
        </w:rPr>
        <w:t>现有数据贡献模板、规则网格索引、植被与非植被入口、陆面参数融合及气象驱动组织能力，已经为长期模拟和多模型适配形成稳定接口。14类陆面产品与Emerald模型初始化的衔接进一步表明，GriddingMachine可以作为数据产品与地球系统模型之间的轻量中间层，在保持标准产品独立性的同时支持模型参数、边界条件和驱动数据的统一组织。</w:t>
      </w:r>
    </w:p>
    <w:p>
      <w:pPr>
        <w:pStyle w:val="Heading1"/>
      </w:pPr>
      <w:r>
        <w:rPr>
          <w:rFonts w:ascii="Times New Roman" w:hAnsi="Times New Roman" w:eastAsia="宋体"/>
        </w:rPr>
        <w:t>6 结论</w:t>
      </w:r>
    </w:p>
    <w:p>
      <w:r>
        <w:rPr>
          <w:rFonts w:ascii="Times New Roman" w:hAnsi="Times New Roman" w:eastAsia="宋体"/>
        </w:rPr>
        <w:t>本文在2022版GriddingMachine基础上构建由共享YAML schema、显式源维度映射、Gapfill、独立目录、直接NetCDF、事务式缓存及统一读取接口组成的可执行数据生命周期，实现从异构源数据到模型就绪输入的贯通。</w:t>
      </w:r>
    </w:p>
    <w:p>
      <w:r>
        <w:rPr>
          <w:rFonts w:ascii="Times New Roman" w:hAnsi="Times New Roman" w:eastAsia="宋体"/>
        </w:rPr>
        <w:t>OISST V2.1产品从四维打包源数据生成1440×720标准海表温度产品，坐标、有效值掩膜和691 150个物理值与独立参考逐点一致。对于已经内部压缩的ELEV和LAI产品，直接NetCDF在两个独立环境中将缓存预热后的端到端中位时间降低48.3%～82.9%和53.6%～69.2%；校园网内4个代表性产品通过FTP与Zenodo实现内容一致的双镜像获取，14类陆面产品生成US-NR1参数字典并进入Emerald模型初始化。</w:t>
      </w:r>
    </w:p>
    <w:p>
      <w:r>
        <w:rPr>
          <w:rFonts w:ascii="Times New Roman" w:hAnsi="Times New Roman" w:eastAsia="宋体"/>
        </w:rPr>
        <w:t>GriddingMachine由此形成面向地球系统模型的轻量数据生产与可信分发基础设施。海温产品生产、陆面参数组织与双镜像分发共同体现框架对全球规则网格数据的贯通能力，并为多时段产品、气象驱动和长期模型应用提供统一的数据基础。</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GriddingMachine.jl和GriddingMachineDatasets的论文对应代码固定于</w:t>
      </w:r>
      <w:r>
        <w:rPr>
          <w:rFonts w:ascii="Consolas" w:hAnsi="Consolas" w:eastAsia="等线"/>
        </w:rPr>
        <w:t>paper-release</w:t>
      </w:r>
      <w:r>
        <w:rPr>
          <w:rFonts w:ascii="Times New Roman" w:hAnsi="Times New Roman" w:eastAsia="宋体"/>
        </w:rPr>
        <w:t>分支，各仓库提供版本化依赖与持续集成配置；投稿版本将通过正式发布版本（release）和永久归档保存软件、数据目录、实验结果、环境文件和绘图脚本。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[11] ABERNATHEY R P, AUGSPURGER T, BANIHIRWE A, et al. Cloud-native repositories for big scientific data[J]. Computing in Science &amp; Engineering, 2021, 23(2): 26-35. DOI: 10.1109/MCSE.2021.3059437.</w:t>
      </w:r>
    </w:p>
    <w:p>
      <w:r>
        <w:rPr>
          <w:rFonts w:ascii="Times New Roman" w:hAnsi="Times New Roman" w:eastAsia="宋体"/>
        </w:rPr>
        <w:t>[12] STERN C, ABERNATHEY R, HAMMAN J, et al. Pangeo Forge: Crowdsourcing analysis-ready, cloud optimized data production[J]. Frontiers in Climate, 2022, 3: 782909. DOI: 10.3389/fclim.2021.782909.</w:t>
      </w:r>
    </w:p>
    <w:p>
      <w:r>
        <w:rPr>
          <w:rFonts w:ascii="Times New Roman" w:hAnsi="Times New Roman" w:eastAsia="宋体"/>
        </w:rPr>
        <w:t>[13]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[14] UIEDA L, SOLER S R, RAMPIN R, et al. Pooch: A friend to fetch your data files[J]. Journal of Open Source Software, 2020, 5(45): 1943. DOI: 10.21105/joss.01943.</w:t>
      </w:r>
    </w:p>
    <w:p>
      <w:r>
        <w:rPr>
          <w:rFonts w:ascii="Times New Roman" w:hAnsi="Times New Roman" w:eastAsia="宋体"/>
        </w:rPr>
        <w:t>[15] OPEN GEOSPATIAL CONSORTIUM. SpatioTemporal Asset Catalog (STAC) Community Standard, Version 1.1.0[S/OL]. OGC 25-004, 2025[2026-08-15]. https://www.ogc.org/standards/stac/.</w:t>
      </w:r>
    </w:p>
    <w:p>
      <w:r>
        <w:rPr>
          <w:rFonts w:ascii="Times New Roman" w:hAnsi="Times New Roman" w:eastAsia="宋体"/>
        </w:rPr>
        <w:t>[16] BARKER M, CHUE HONG N P, KATZ D S, et al. Introducing the FAIR Principles for research software[J]. Scientific Data, 2022, 9: 622. DOI: 10.1038/s41597-022-01710-x.</w:t>
      </w:r>
    </w:p>
    <w:p>
      <w:r>
        <w:rPr>
          <w:rFonts w:ascii="Times New Roman" w:hAnsi="Times New Roman" w:eastAsia="宋体"/>
        </w:rPr>
        <w:t>[17] LIN D, CRABTREE J, DILLO I, et al. The TRUST Principles for digital repositories[J]. Scientific Data, 2020, 7: 144. DOI: 10.1038/s41597-020-0486-7.</w:t>
      </w:r>
    </w:p>
    <w:p>
      <w:r>
        <w:rPr>
          <w:rFonts w:ascii="Times New Roman" w:hAnsi="Times New Roman" w:eastAsia="宋体"/>
        </w:rPr>
        <w:t>[18]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