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完成框架更新，形成贯通数据生产、质量控制、多镜像分发、统一读取和模型调用的数据生命周期。新版以共享模式（schema）和YAML配置驱动源维度映射、坐标转换、数值变换与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应用结果表明，二维与三维产品可稳定转换为统一NetCDF；直接NetCDF使两个内部压缩产品的暖缓存端到端中位时间降低48.3%～82.9%和53.6%～69.2%；校园网内4个代表性产品经FTP和Zenodo完成24次内容一致的真实下载；14类真实陆面产品成功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advances GriddingMachine into an integrated lifecycle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trustworthy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Two- and three-dimensional products were consistently transformed into standardized NetCDF files. Direct NetCDF reduced median warm-cache end-to-end time by 48.3%–82.9% and 53.6%–69.2% for two internally compressed products. Four representative products completed 24 content-consistent FTP and Zenodo downloads on the campus network. Fourteen real land products generated a parameter dictionary for US-NR1 and supported Emerald model initialization. The updated GriddingMachine therefore provides a lightweight infrastructure for configurable production, trustworthy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围绕全球网格数据从生产到模型应用的完整生命周期，本文构建共享YAML生产契约、独立数据目录、直接NetCDF分发、多镜像事务获取和模型就绪接口，并以标准产品生产、真实镜像访问和真实陆面数据应用展示新版框架的完整工作流。该更新将数据维护逻辑由分散脚本提升为可配置基础设施，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进一步组织Emerald所需参数和气象驱动。14类真实</w:t>
      </w:r>
      <w:r>
        <w:rPr>
          <w:rFonts w:ascii="Consolas" w:hAnsi="Consolas" w:eastAsia="等线"/>
        </w:rPr>
        <w:t>gm2</w:t>
      </w:r>
      <w:r>
        <w:rPr>
          <w:rFonts w:ascii="Times New Roman" w:hAnsi="Times New Roman" w:eastAsia="宋体"/>
        </w:rPr>
        <w:t>产品已经贯通陆面参数链路并进入Emerald初始化，2020年ERA5序列将继续拓展真实</w:t>
      </w:r>
      <w:r>
        <w:rPr>
          <w:rFonts w:ascii="Consolas" w:hAnsi="Consolas" w:eastAsia="等线"/>
        </w:rPr>
        <w:t>wd1</w:t>
      </w:r>
      <w:r>
        <w:rPr>
          <w:rFonts w:ascii="Times New Roman" w:hAnsi="Times New Roman" w:eastAsia="宋体"/>
        </w:rPr>
        <w:t>气象驱动应用。</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真实陆面产品与Emerald模型接口顺利贯通</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P01代表性贡献流程使用二维非对称参考数据呈现配置与处理操作的对应关系。源变量采用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，逐点结果与独立金标准一致。完整YAML、字段字典、命令和目录说明保存在贡献指南中，真实数据配置进一步记录来源、许可、引用和复杂时间坐标。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生成唯一文件名。重复调用可识别已有目标；内容感知机制将进一步结合配置哈希、软件版本和文件摘要管理产品重建。</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V01/V02脚本分别提供方向正确与南北反转的非对称位置编码图，正向图与反向图均得到准确识别。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P01贡献流程依据版本化指南贯通代表性数据集的配置生成、标准化、质量检查、发布、目录登记和下游读取。最终NetCDF与目录项保持一致，并形成包含固定输入路径和完整YAML示例的贡献模板。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镜像状态分析覆盖候选顺序、字节数、SHA-256、缓存恢复和镜像遍历等分发环节。跨操作系统运行与校园网FTP—Zenodo实测共同呈现“事务安全—真实获取—内容一致”的分发链路。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标签完成模型就绪字段组织。确定性气象参考数据用于组织字段、形状和Emerald最小步进，真实</w:t>
      </w:r>
      <w:r>
        <w:rPr>
          <w:rFonts w:ascii="Consolas" w:hAnsi="Consolas" w:eastAsia="等线"/>
        </w:rPr>
        <w:t>gm2</w:t>
      </w:r>
      <w:r>
        <w:rPr>
          <w:rFonts w:ascii="Times New Roman" w:hAnsi="Times New Roman" w:eastAsia="宋体"/>
        </w:rPr>
        <w:t>文件贯通陆面参数链路。2020年ERA5序列将进一步扩展真实</w:t>
      </w:r>
      <w:r>
        <w:rPr>
          <w:rFonts w:ascii="Consolas" w:hAnsi="Consolas" w:eastAsia="等线"/>
        </w:rPr>
        <w:t>wd1</w:t>
      </w:r>
      <w:r>
        <w:rPr>
          <w:rFonts w:ascii="Times New Roman" w:hAnsi="Times New Roman" w:eastAsia="宋体"/>
        </w:rPr>
        <w:t>气象驱动应用。</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本地数据根目录、更新目录、校验下载、读取US-NR1附近格点，并进一步生成2020年陆面参数字典。真实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标准产品生产流程在各操作系统环境中保持一致行为。29个自动场景连续完成，V01正向图和V02南北反转图均得到准确识别，展示了共享生产契约在数组变换、配置解析和空间方向控制方面的稳定性。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P01代表性贡献案例依次完成配置生成、标准化、自动与人工质量检查、产品发布、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真实镜像的可达性和内容一致性。</w:t>
      </w:r>
    </w:p>
    <w:p>
      <w:pPr>
        <w:pStyle w:val="Heading3"/>
      </w:pPr>
      <w:r>
        <w:rPr>
          <w:rFonts w:ascii="Times New Roman" w:hAnsi="Times New Roman" w:eastAsia="宋体"/>
        </w:rPr>
        <w:t>3.3.3 真实镜像访问</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与Emerald初始化。确定性参考数据用于组织字段名、形状、类型、时间索引和NaN处理；真实陆面案例采用2020年</w:t>
      </w:r>
      <w:r>
        <w:rPr>
          <w:rFonts w:ascii="Consolas" w:hAnsi="Consolas" w:eastAsia="等线"/>
        </w:rPr>
        <w:t>gm2</w:t>
      </w:r>
      <w:r>
        <w:rPr>
          <w:rFonts w:ascii="Times New Roman" w:hAnsi="Times New Roman" w:eastAsia="宋体"/>
        </w:rPr>
        <w:t>产品，在US-NR1附近植被格点和典型非植被格点展示不同陆面状态下的模型入口。2020年</w:t>
      </w:r>
      <w:r>
        <w:rPr>
          <w:rFonts w:ascii="Consolas" w:hAnsi="Consolas" w:eastAsia="等线"/>
        </w:rPr>
        <w:t>wd1</w:t>
      </w:r>
      <w:r>
        <w:rPr>
          <w:rFonts w:ascii="Times New Roman" w:hAnsi="Times New Roman" w:eastAsia="宋体"/>
        </w:rPr>
        <w:t>的8类ERA5数据将进一步拓展真实气象驱动应用。</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真实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持续集成使用确定性NetCDF参考数据维护代码路径、文件状态和内容完整性，本地环境进一步覆盖真实ELEV/LAI效率、真实镜像访问和真实</w:t>
      </w:r>
      <w:r>
        <w:rPr>
          <w:rFonts w:ascii="Consolas" w:hAnsi="Consolas" w:eastAsia="等线"/>
        </w:rPr>
        <w:t>gm2</w:t>
      </w:r>
      <w:r>
        <w:rPr>
          <w:rFonts w:ascii="Times New Roman" w:hAnsi="Times New Roman" w:eastAsia="宋体"/>
        </w:rPr>
        <w:t>陆面案例，共同形成从自动维护到真实数据应用的分层运行体系。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本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功能模块</w:t>
            </w:r>
          </w:p>
        </w:tc>
        <w:tc>
          <w:tcPr>
            <w:tcW w:type="dxa" w:w="2295"/>
            <w:shd w:fill="D9EAF7"/>
          </w:tcPr>
          <w:p>
            <w:r>
              <w:rPr>
                <w:b/>
                <w:sz w:val="18"/>
              </w:rPr>
            </w:r>
            <w:r>
              <w:rPr>
                <w:rFonts w:ascii="Times New Roman" w:hAnsi="Times New Roman" w:eastAsia="宋体"/>
                <w:b/>
                <w:sz w:val="18"/>
              </w:rPr>
              <w:t>主要改进</w:t>
            </w:r>
          </w:p>
        </w:tc>
        <w:tc>
          <w:tcPr>
            <w:tcW w:type="dxa" w:w="2295"/>
            <w:shd w:fill="D9EAF7"/>
          </w:tcPr>
          <w:p>
            <w:r>
              <w:rPr>
                <w:b/>
                <w:sz w:val="18"/>
              </w:rPr>
            </w:r>
            <w:r>
              <w:rPr>
                <w:rFonts w:ascii="Times New Roman" w:hAnsi="Times New Roman" w:eastAsia="宋体"/>
                <w:b/>
                <w:sz w:val="18"/>
              </w:rPr>
              <w:t>应用表现</w:t>
            </w:r>
          </w:p>
        </w:tc>
        <w:tc>
          <w:tcPr>
            <w:tcW w:type="dxa" w:w="2295"/>
            <w:shd w:fill="D9EAF7"/>
          </w:tcPr>
          <w:p>
            <w:r>
              <w:rPr>
                <w:b/>
                <w:sz w:val="18"/>
              </w:rPr>
            </w:r>
            <w:r>
              <w:rPr>
                <w:rFonts w:ascii="Times New Roman" w:hAnsi="Times New Roman" w:eastAsia="宋体"/>
                <w:b/>
                <w:sz w:val="18"/>
              </w:rPr>
              <w:t>扩展方向</w:t>
            </w:r>
          </w:p>
        </w:tc>
      </w:tr>
      <w:tr>
        <w:tc>
          <w:tcPr>
            <w:tcW w:type="dxa" w:w="2295"/>
          </w:tcPr>
          <w:p>
            <w:r>
              <w:rPr>
                <w:sz w:val="18"/>
              </w:rPr>
            </w:r>
            <w:r>
              <w:rPr>
                <w:rFonts w:ascii="Times New Roman" w:hAnsi="Times New Roman" w:eastAsia="宋体"/>
                <w:sz w:val="18"/>
              </w:rPr>
              <w:t>标准产品生产</w:t>
            </w:r>
          </w:p>
        </w:tc>
        <w:tc>
          <w:tcPr>
            <w:tcW w:type="dxa" w:w="2295"/>
          </w:tcPr>
          <w:p>
            <w:r>
              <w:rPr>
                <w:sz w:val="18"/>
              </w:rPr>
            </w:r>
            <w:r>
              <w:rPr>
                <w:rFonts w:ascii="Times New Roman" w:hAnsi="Times New Roman" w:eastAsia="宋体"/>
                <w:sz w:val="18"/>
              </w:rPr>
              <w:t>共享YAML schema、显式维度映射和Gapfill</w:t>
            </w:r>
          </w:p>
        </w:tc>
        <w:tc>
          <w:tcPr>
            <w:tcW w:type="dxa" w:w="2295"/>
          </w:tcPr>
          <w:p>
            <w:r>
              <w:rPr>
                <w:sz w:val="18"/>
              </w:rPr>
            </w:r>
            <w:r>
              <w:rPr>
                <w:rFonts w:ascii="Times New Roman" w:hAnsi="Times New Roman" w:eastAsia="宋体"/>
                <w:sz w:val="18"/>
              </w:rPr>
              <w:t>二维/三维产品稳定生成；ELEV数组与坐标完整保持</w:t>
            </w:r>
          </w:p>
        </w:tc>
        <w:tc>
          <w:tcPr>
            <w:tcW w:type="dxa" w:w="2295"/>
          </w:tcPr>
          <w:p>
            <w:r>
              <w:rPr>
                <w:sz w:val="18"/>
              </w:rPr>
            </w:r>
            <w:r>
              <w:rPr>
                <w:rFonts w:ascii="Times New Roman" w:hAnsi="Times New Roman" w:eastAsia="宋体"/>
                <w:sz w:val="18"/>
              </w:rPr>
              <w:t>扩展真实异构原始产品</w:t>
            </w:r>
          </w:p>
        </w:tc>
      </w:tr>
      <w:tr>
        <w:tc>
          <w:tcPr>
            <w:tcW w:type="dxa" w:w="2295"/>
          </w:tcPr>
          <w:p>
            <w:r>
              <w:rPr>
                <w:sz w:val="18"/>
              </w:rPr>
            </w:r>
            <w:r>
              <w:rPr>
                <w:rFonts w:ascii="Times New Roman" w:hAnsi="Times New Roman" w:eastAsia="宋体"/>
                <w:sz w:val="18"/>
              </w:rPr>
              <w:t>数据制品</w:t>
            </w:r>
          </w:p>
        </w:tc>
        <w:tc>
          <w:tcPr>
            <w:tcW w:type="dxa" w:w="2295"/>
          </w:tcPr>
          <w:p>
            <w:r>
              <w:rPr>
                <w:sz w:val="18"/>
              </w:rPr>
            </w:r>
            <w:r>
              <w:rPr>
                <w:rFonts w:ascii="Times New Roman" w:hAnsi="Times New Roman" w:eastAsia="宋体"/>
                <w:sz w:val="18"/>
              </w:rPr>
              <w:t>直接NetCDF替代外层</w:t>
            </w:r>
            <w:r>
              <w:rPr>
                <w:rFonts w:ascii="Consolas" w:hAnsi="Consolas" w:eastAsia="等线"/>
                <w:sz w:val="18"/>
              </w:rPr>
              <w:t>tar.gz</w:t>
            </w:r>
          </w:p>
        </w:tc>
        <w:tc>
          <w:tcPr>
            <w:tcW w:type="dxa" w:w="2295"/>
          </w:tcPr>
          <w:p>
            <w:r>
              <w:rPr>
                <w:sz w:val="18"/>
              </w:rPr>
            </w:r>
            <w:r>
              <w:rPr>
                <w:rFonts w:ascii="Times New Roman" w:hAnsi="Times New Roman" w:eastAsia="宋体"/>
                <w:sz w:val="18"/>
              </w:rPr>
              <w:t>暖缓存端到端中位时间降低48.3%～82.9%和53.6%～69.2%</w:t>
            </w:r>
          </w:p>
        </w:tc>
        <w:tc>
          <w:tcPr>
            <w:tcW w:type="dxa" w:w="2295"/>
          </w:tcPr>
          <w:p>
            <w:r>
              <w:rPr>
                <w:sz w:val="18"/>
              </w:rPr>
            </w:r>
            <w:r>
              <w:rPr>
                <w:rFonts w:ascii="Times New Roman" w:hAnsi="Times New Roman" w:eastAsia="宋体"/>
                <w:sz w:val="18"/>
              </w:rPr>
              <w:t>扩展更多产品规模</w:t>
            </w:r>
          </w:p>
        </w:tc>
      </w:tr>
      <w:tr>
        <w:tc>
          <w:tcPr>
            <w:tcW w:type="dxa" w:w="2295"/>
          </w:tcPr>
          <w:p>
            <w:r>
              <w:rPr>
                <w:sz w:val="18"/>
              </w:rPr>
            </w:r>
            <w:r>
              <w:rPr>
                <w:rFonts w:ascii="Times New Roman" w:hAnsi="Times New Roman" w:eastAsia="宋体"/>
                <w:sz w:val="18"/>
              </w:rPr>
              <w:t>目录与镜像</w:t>
            </w:r>
          </w:p>
        </w:tc>
        <w:tc>
          <w:tcPr>
            <w:tcW w:type="dxa" w:w="2295"/>
          </w:tcPr>
          <w:p>
            <w:r>
              <w:rPr>
                <w:sz w:val="18"/>
              </w:rPr>
            </w:r>
            <w:r>
              <w:rPr>
                <w:rFonts w:ascii="Times New Roman" w:hAnsi="Times New Roman" w:eastAsia="宋体"/>
                <w:sz w:val="18"/>
              </w:rPr>
              <w:t>独立目录、延迟辅助排序、多URL回退和事务缓存</w:t>
            </w:r>
          </w:p>
        </w:tc>
        <w:tc>
          <w:tcPr>
            <w:tcW w:type="dxa" w:w="2295"/>
          </w:tcPr>
          <w:p>
            <w:r>
              <w:rPr>
                <w:sz w:val="18"/>
              </w:rPr>
            </w:r>
            <w:r>
              <w:rPr>
                <w:rFonts w:ascii="Times New Roman" w:hAnsi="Times New Roman" w:eastAsia="宋体"/>
                <w:sz w:val="18"/>
              </w:rPr>
              <w:t>校园网FTP与Zenodo共24次下载内容一致</w:t>
            </w:r>
          </w:p>
        </w:tc>
        <w:tc>
          <w:tcPr>
            <w:tcW w:type="dxa" w:w="2295"/>
          </w:tcPr>
          <w:p>
            <w:r>
              <w:rPr>
                <w:sz w:val="18"/>
              </w:rPr>
            </w:r>
            <w:r>
              <w:rPr>
                <w:rFonts w:ascii="Times New Roman" w:hAnsi="Times New Roman" w:eastAsia="宋体"/>
                <w:sz w:val="18"/>
              </w:rPr>
              <w:t>建立长期镜像运行统计</w:t>
            </w:r>
          </w:p>
        </w:tc>
      </w:tr>
      <w:tr>
        <w:tc>
          <w:tcPr>
            <w:tcW w:type="dxa" w:w="2295"/>
          </w:tcPr>
          <w:p>
            <w:r>
              <w:rPr>
                <w:sz w:val="18"/>
              </w:rPr>
            </w:r>
            <w:r>
              <w:rPr>
                <w:rFonts w:ascii="Times New Roman" w:hAnsi="Times New Roman" w:eastAsia="宋体"/>
                <w:sz w:val="18"/>
              </w:rPr>
              <w:t>模型就绪访问</w:t>
            </w:r>
          </w:p>
        </w:tc>
        <w:tc>
          <w:tcPr>
            <w:tcW w:type="dxa" w:w="2295"/>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2295"/>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w:t>
            </w:r>
          </w:p>
        </w:tc>
        <w:tc>
          <w:tcPr>
            <w:tcW w:type="dxa" w:w="2295"/>
          </w:tcPr>
          <w:p>
            <w:r>
              <w:rPr>
                <w:sz w:val="18"/>
              </w:rPr>
            </w:r>
            <w:r>
              <w:rPr>
                <w:rFonts w:ascii="Times New Roman" w:hAnsi="Times New Roman" w:eastAsia="宋体"/>
                <w:sz w:val="18"/>
              </w:rPr>
              <w:t>接入ERA5气象驱动与长期模拟</w:t>
            </w:r>
          </w:p>
        </w:tc>
      </w:tr>
      <w:tr>
        <w:tc>
          <w:tcPr>
            <w:tcW w:type="dxa" w:w="2295"/>
          </w:tcPr>
          <w:p>
            <w:r>
              <w:rPr>
                <w:sz w:val="18"/>
              </w:rPr>
            </w:r>
            <w:r>
              <w:rPr>
                <w:rFonts w:ascii="Times New Roman" w:hAnsi="Times New Roman" w:eastAsia="宋体"/>
                <w:sz w:val="18"/>
              </w:rPr>
              <w:t>跨操作系统运行</w:t>
            </w:r>
          </w:p>
        </w:tc>
        <w:tc>
          <w:tcPr>
            <w:tcW w:type="dxa" w:w="2295"/>
          </w:tcPr>
          <w:p>
            <w:r>
              <w:rPr>
                <w:sz w:val="18"/>
              </w:rPr>
            </w:r>
            <w:r>
              <w:rPr>
                <w:rFonts w:ascii="Times New Roman" w:hAnsi="Times New Roman" w:eastAsia="宋体"/>
                <w:sz w:val="18"/>
              </w:rPr>
              <w:t>版本化依赖与持续集成</w:t>
            </w:r>
          </w:p>
        </w:tc>
        <w:tc>
          <w:tcPr>
            <w:tcW w:type="dxa" w:w="2295"/>
          </w:tcPr>
          <w:p>
            <w:r>
              <w:rPr>
                <w:sz w:val="18"/>
              </w:rPr>
            </w:r>
            <w:r>
              <w:rPr>
                <w:rFonts w:ascii="Times New Roman" w:hAnsi="Times New Roman" w:eastAsia="宋体"/>
                <w:sz w:val="18"/>
              </w:rPr>
              <w:t>各操作系统环境保持一致的软件路径与数据接口</w:t>
            </w:r>
          </w:p>
        </w:tc>
        <w:tc>
          <w:tcPr>
            <w:tcW w:type="dxa" w:w="2295"/>
          </w:tcPr>
          <w:p>
            <w:r>
              <w:rPr>
                <w:sz w:val="18"/>
              </w:rPr>
            </w:r>
            <w:r>
              <w:rPr>
                <w:rFonts w:ascii="Times New Roman" w:hAnsi="Times New Roman" w:eastAsia="宋体"/>
                <w:sz w:val="18"/>
              </w:rPr>
              <w:t>扩展真实案例自动化运行</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schema成功组织二维和三维数据的源维度重排、坐标变换、线性缩放、有效范围过滤与Gapfill，并将处理结果保存为统一的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结构。配置构建器、生产流水线和目录生成器使用同一字段约定，使标准产品能够从源数据处理直接进入</w:t>
      </w:r>
      <w:r>
        <w:rPr>
          <w:rFonts w:ascii="Consolas" w:hAnsi="Consolas" w:eastAsia="等线"/>
        </w:rPr>
        <w:t>Artifacts.yaml</w:t>
      </w:r>
      <w:r>
        <w:rPr>
          <w:rFonts w:ascii="Times New Roman" w:hAnsi="Times New Roman" w:eastAsia="宋体"/>
        </w:rPr>
        <w:t>登记；目录条目同步生成准确的</w:t>
      </w:r>
      <w:r>
        <w:rPr>
          <w:rFonts w:ascii="Consolas" w:hAnsi="Consolas" w:eastAsia="等线"/>
        </w:rPr>
        <w:t>SIZE</w:t>
      </w:r>
      <w:r>
        <w:rPr>
          <w:rFonts w:ascii="Times New Roman" w:hAnsi="Times New Roman" w:eastAsia="宋体"/>
        </w:rPr>
        <w:t>与SHA-256，为后续多镜像发布提供完整性信息。</w:t>
      </w:r>
    </w:p>
    <w:p>
      <w:r>
        <w:rPr>
          <w:rFonts w:ascii="Times New Roman" w:hAnsi="Times New Roman" w:eastAsia="宋体"/>
        </w:rPr>
        <w:t>表3所列31个生产场景完整覆盖维度、坐标、数值、Gapfill、配置、输出和空间方向控制。各操作系统环境获得一致的产品结构和逐点数值结果，V01正向图与V02南北反转图得到准确区分，说明自动质量控制与人工空间检查能够共同维护标准产品的坐标语义。</w:t>
      </w:r>
    </w:p>
    <w:p>
      <w:r>
        <w:rPr>
          <w:rFonts w:ascii="Times New Roman" w:hAnsi="Times New Roman" w:eastAsia="宋体"/>
        </w:rPr>
        <w:t>P01代表性贡献案例顺利完成从YAML配置到标准产品生成、目录登记和下游读取的完整流程。生成产品与参照数组逐点一致，目录中的</w:t>
      </w:r>
      <w:r>
        <w:rPr>
          <w:rFonts w:ascii="Consolas" w:hAnsi="Consolas" w:eastAsia="等线"/>
        </w:rPr>
        <w:t>SIZE</w:t>
      </w:r>
      <w:r>
        <w:rPr>
          <w:rFonts w:ascii="Times New Roman" w:hAnsi="Times New Roman" w:eastAsia="宋体"/>
        </w:rPr>
        <w:t>和SHA-256准确；完整YAML示例和固定输入路径进一步形成可直接复用的数据贡献模板。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ELEV标准文件顺利贯通完整性目录、统一读取和处理流水线。实测数组全域具有有效值，重复生产中的坐标、数据和输出摘要保持一致，展示了新版流程对既有标准数据产品的稳定承接能力。</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 level 4压缩，对照归档采用gzip level 6。回环HTTP测试条件下，各“数据×形式”组合经过预热并按随机顺序重复测量，全部解包后内容均通过SHA-256校验。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M01～M13镜像状态场景表明，Collector能够优先选择延迟较低的候选，同时完整保留全部URL并依次回退。每次获取采用独立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文件，内容经字节数和SHA-256确认后进入正式路径；130次状态记录中的临时文件均被完整回收，既有正式文件摘要保持一致。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真实下载，全部达到登记字节数并通过SHA-256核验。不同文件规模的中位下载时间呈合理梯度，重复传输的内容摘要与目录登记值一致，展示了公共镜像、事务缓存和完整性校验协同支持稳定数据获取的能力。</w:t>
      </w:r>
    </w:p>
    <w:p>
      <w:r>
        <w:rPr>
          <w:rFonts w:ascii="Times New Roman" w:hAnsi="Times New Roman" w:eastAsia="宋体"/>
        </w:rPr>
        <w:t>中科大校园网环境下，FTP与Zenodo各完成12次同文件下载，24次结果全部达到登记字节数并通过SHA-256核验。4个文件的FTP中位下载时间为0.071～0.356 s，Zenodo为1.091～14.092 s；FTP往返延迟为1.0～13.5 ms，延迟辅助排序与实际传输表现一致。该结果展示了机构镜像与公共镜像的内容一致性，以及多镜像目录对不同访问环境的适应能力。</w:t>
      </w:r>
    </w:p>
    <w:p>
      <w:r>
        <w:rPr>
          <w:rFonts w:ascii="Times New Roman" w:hAnsi="Times New Roman" w:eastAsia="宋体"/>
        </w:rPr>
        <w:t>镜像状态场景呈现事务式文件转换，真实镜像访问展示FTP与Zenodo的可达性、候选顺序和下载表现。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GriddingMachine输出顺利进入Emerald参数组织、气象组织、模型初始化和60 s单步计算，建立了从标准数据读取到模型首个时间步的直接连接。</w:t>
      </w:r>
    </w:p>
    <w:p>
      <w:r>
        <w:rPr>
          <w:rFonts w:ascii="Times New Roman" w:hAnsi="Times New Roman" w:eastAsia="宋体"/>
        </w:rPr>
        <w:t>真实陆面案例使用2020年</w:t>
      </w:r>
      <w:r>
        <w:rPr>
          <w:rFonts w:ascii="Consolas" w:hAnsi="Consolas" w:eastAsia="等线"/>
        </w:rPr>
        <w:t>gm2</w:t>
      </w:r>
      <w:r>
        <w:rPr>
          <w:rFonts w:ascii="Times New Roman" w:hAnsi="Times New Roman" w:eastAsia="宋体"/>
        </w:rPr>
        <w:t>的14类标准产品，全部通过文件大小、来源摘要和本地SHA-256核验。US-NR1站点被映射至相应规则格点，</w:t>
      </w:r>
      <w:r>
        <w:rPr>
          <w:rFonts w:ascii="Consolas" w:hAnsi="Consolas" w:eastAsia="等线"/>
        </w:rPr>
        <w:t>grid_dict</w:t>
      </w:r>
      <w:r>
        <w:rPr>
          <w:rFonts w:ascii="Times New Roman" w:hAnsi="Times New Roman" w:eastAsia="宋体"/>
        </w:rPr>
        <w:t>成功组织34个模型字段、366日季节序列、4个土壤层和17个植物功能型，高程、陆地掩膜与叶面积指数均得到正确读取。撒哈拉案例准确返回非植被格点状态，表明接口能够根据陆面特征组织相应模型入口。</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文件顺利贯通完整性目录、统一读取和陆面参数组织接口，并覆盖植被与非植被入口。依赖统一和接口迁移使各操作系统环境能够从同一项目声明解析一致的软件组合。2020年ERA5的8类</w:t>
      </w:r>
      <w:r>
        <w:rPr>
          <w:rFonts w:ascii="Consolas" w:hAnsi="Consolas" w:eastAsia="等线"/>
        </w:rPr>
        <w:t>wd1</w:t>
      </w:r>
      <w:r>
        <w:rPr>
          <w:rFonts w:ascii="Times New Roman" w:hAnsi="Times New Roman" w:eastAsia="宋体"/>
        </w:rPr>
        <w:t>序列将进一步拓展从标准气象数据到模型运行的应用链路。</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各操作系统环境均可运行标准产品生产、直接NetCDF分发、多镜像获取和Emerald模型接口，并获得一致的数据结构、内容摘要和模型字段，表明共享数据契约、事务式下载和模型就绪接口具有稳定的系统适应性。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在跨操作系统持续集成中保持自动运行。统一的项目依赖、参考数据和模型接口形成可持续维护机制，使软件更新能够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真实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新版框架在三个层次推进GriddingMachine：生产端以共享YAML契约连接维度、坐标、Gapfill和标准NetCDF；分发端以独立目录、直接NetCDF与事务缓存连接机构镜像和公共镜像；应用端以统一读取、Emerald最小步进和真实</w:t>
      </w:r>
      <w:r>
        <w:rPr>
          <w:rFonts w:ascii="Consolas" w:hAnsi="Consolas" w:eastAsia="等线"/>
        </w:rPr>
        <w:t>gm2</w:t>
      </w:r>
      <w:r>
        <w:rPr>
          <w:rFonts w:ascii="Times New Roman" w:hAnsi="Times New Roman" w:eastAsia="宋体"/>
        </w:rPr>
        <w:t>陆面链路连接数据产品与模型。OISST等真实异构原始产品将进一步拓展源数据标准化和科学应用范围。</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[9]；Pangeo倡导分析就绪、云优化数据以及计算与数据邻近的云原生模式[10]，Pangeo Forge进一步以可复用配方和目录组织分析就绪数据生产[11]。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[11]，本文流程侧重可直接下载的单体NetCDF、离线缓存、完整性落盘和固定模型接口。云优化分块格式适配超大规模近数据计算[10]，ESGF适配CMIP等机构联合治理[9]，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[12]；Pooch以文件名、URL和SHA-256注册表实现远端文件获取、本地缓存和完整性校验[13]；STAC为广泛地理空间资产提供通用元数据结构与查询标准[14]。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[15]；TRUST原则进一步提出透明度、责任、用户关注、可持续性和技术能力[16]。GriddingMachine以权威文件生成</w:t>
      </w:r>
      <w:r>
        <w:rPr>
          <w:rFonts w:ascii="Consolas" w:hAnsi="Consolas" w:eastAsia="等线"/>
        </w:rPr>
        <w:t>SIZE/SHA256</w:t>
      </w:r>
      <w:r>
        <w:rPr>
          <w:rFonts w:ascii="Times New Roman" w:hAnsi="Times New Roman" w:eastAsia="宋体"/>
        </w:rPr>
        <w:t>、下载后校验、目录事务替换和版本化依赖落实技术可复现性。正式release将继续整合镜像登记、来源许可、配置哈希、代码版本和永久归档，形成完整的软件—目录—数据溯源链。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溯源链，并将实验结果关联到可识别的软件与数据版本[8]。ELEV标准文件已经完成完整性核验、统一读取和重复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将真实异构原始产品、2020年ERA5气象序列、长期模型运行和永久软件归档纳入后续版本，持续扩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Gapfill、独立目录、直接NetCDF、事务式缓存及统一读取接口组成的可执行数据生命周期。新版能够稳定生成标准产品，在多镜像环境中维护内容完整性；校园网内4个代表性产品通过FTP与Zenodo实现内容一致的双镜像获取，14类真实陆面产品成功生成US-NR1参数字典。</w:t>
      </w:r>
    </w:p>
    <w:p>
      <w:r>
        <w:rPr>
          <w:rFonts w:ascii="Times New Roman" w:hAnsi="Times New Roman" w:eastAsia="宋体"/>
        </w:rPr>
        <w:t>GriddingMachine由此形成面向地球系统模型的轻量数据生产与可信分发基础设施。下一阶段将以真实异构原始产品和ERA5气象驱动扩展端到端科学核对，并通过镜像登记、完整性元数据、不可变release和永久归档持续完善证据链，为全球规则网格数据维护和可复用模型输入提供长期支撑。</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实验脚本、汇总测试结果并辅助图件制作。研究目标、实验设计、验收标准和结论由作者确定；作者核验软件版本、实验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