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完整性可核验分发、统一读取和模型调用的数据生命周期框架。新版以共享配置规范（schema）和YAML驱动源维度映射、坐标转换、数值变换与缺失值填补（Gapfill），采用独立目录管理逻辑路径、镜像地址及完整性元数据，并通过直接NetCDF与事务式获取连接标准产品和模型应用。NOAA最优插值海表温度（OISST）V2.1产品由四维源结构转换为1440×720标准网格，691 150个有效格点与独立参考逐点一致。对于ELEV和LAI两个内部压缩产品，直接NetCDF在环境A中分别降低48.3%和82.9%的缓存预热端到端中位时间，在环境B中分别降低53.6%和69.2%。校园网内4个代表性产品经FTP和Zenodo完成24次同文件下载，文件大小与SHA-256均与目录登记值一致。14类陆面产品与8类ERA5逐时产品在US-NR1形成参数和气象驱动，8个字段的8784个时间步与底层NetCDF读取逐点一致，并完成Emerald初始化和60 s首步计算。新版GriddingMachine由此形成面向全球规则网格数据的可配置生产、完整性可核验分发和模型输入组织框架，为地球系统数据产品的持续维护与复用提供轻量化基础设施。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integrity-verifiable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acquisition connects standardized products to model applications. A NOAA Optimum Interpolation Sea Surface Temperature (OISST) V2.1 product was transformed from a four-dimensional source structure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their catalog records. Fourteen land products and eight hourly ERA5 products supplied land parameters and meteorological forcing for US-NR1; all 8,784 time steps in eight fields matched direct NetCDF reads, and Emerald initialization and a 60 s first step completed with finite states. The updated GriddingMachine provides a lightweight infrastructure for configurable production, integrity-verifiable distribution, and model-input organization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显著提升了大尺度遥感数据的访问和分析能力[3]。机构服务器、团队存储和公共存储共同构成当前地学数据分发生态；面向固定版本、离线缓存和模型直接调用的研究流程，还需要把数据转换规则、产品目录、内容完整性和下游接口连接起来。</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随着产品类型、分发位置和模型应用链条扩展，数据源专用脚本、外层归档制品以及随软件版本更新的目录逐渐成为彼此关联的维护单元。新版据此把生产规则、产品目录和访问软件重新组织为相互衔接且可分别演化的组成部分，在延续统一网格、变量约定和标签访问的同时，建立从异构源数据到模型输入的连续数据路径。</w:t>
      </w:r>
    </w:p>
    <w:p>
      <w:r>
        <w:rPr>
          <w:rFonts w:ascii="Times New Roman" w:hAnsi="Times New Roman" w:eastAsia="宋体"/>
        </w:rPr>
        <w:t>本研究的推进体现在三个层面：生产端以共享YAML契约统一表达源维度、坐标、数值变换、Gapfill和质量控制，形成可复用的标准NetCDF生产流程；分发端以独立目录连接机构FTP、Zenodo及其他内容一致的镜像，通过直接NetCDF、事务式获取和</w:t>
      </w:r>
      <w:r>
        <w:rPr>
          <w:rFonts w:ascii="Consolas" w:hAnsi="Consolas" w:eastAsia="等线"/>
        </w:rPr>
        <w:t>SIZE/SHA256</w:t>
      </w:r>
      <w:r>
        <w:rPr>
          <w:rFonts w:ascii="Times New Roman" w:hAnsi="Times New Roman" w:eastAsia="宋体"/>
        </w:rPr>
        <w:t>建立可核验的内容完整性链；应用端以标签驱动的数据读取、陆面参数融合和气象驱动组织连接标准产品与Emerald。三者共同构成“异构数据生产—版本化分发—完整性核验—模型输入组织”的数据生命周期。</w:t>
      </w:r>
    </w:p>
    <w:p>
      <w:r>
        <w:rPr>
          <w:rFonts w:ascii="Times New Roman" w:hAnsi="Times New Roman" w:eastAsia="宋体"/>
        </w:rPr>
        <w:t>本文以OISST产品转换[9]评价异构产品的标准化能力，以ELEV和LAI产品评价直接NetCDF分发效率，以FTP—Zenodo同文件获取评价镜像内容一致性，并以14类陆面产品和8类ERA5逐时产品[10]构成的US-NR1案例评价标准产品进入模型输入组织的完整链路。</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统一的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方向正确与南北反转的非对称位置编码图得到准确区分。YAML中的</w:t>
      </w:r>
      <w:r>
        <w:rPr>
          <w:rFonts w:ascii="Consolas" w:hAnsi="Consolas" w:eastAsia="等线"/>
        </w:rPr>
        <w:t>VERIFY_ONCE</w:t>
      </w:r>
      <w:r>
        <w:rPr>
          <w:rFonts w:ascii="Times New Roman" w:hAnsi="Times New Roman" w:eastAsia="宋体"/>
        </w:rPr>
        <w:t>用于管理同一配置组合的首次确认状态，人工空间判断与自动坐标、结构和逐点数值检查共同组成方向质量控制体系。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独立数据目录与完整性可核验分发</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数据贡献与目录发布</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版本化指南与包含固定输入路径、完整YAML示例的贡献模板进一步连接各环节，使最终NetCDF、目录项与下游读取保持一致。</w:t>
      </w:r>
    </w:p>
    <w:p>
      <w:pPr>
        <w:pStyle w:val="Heading3"/>
      </w:pPr>
      <w:r>
        <w:rPr>
          <w:rFonts w:ascii="Times New Roman" w:hAnsi="Times New Roman" w:eastAsia="宋体"/>
        </w:rPr>
        <w:t>2.3.3 目录初始化与事务更新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连接远端目录获取、结构确认和版本切换，实现数据目录的独立发布与持续更新。</w:t>
      </w:r>
    </w:p>
    <w:p>
      <w:pPr>
        <w:pStyle w:val="Heading3"/>
      </w:pPr>
      <w:r>
        <w:rPr>
          <w:rFonts w:ascii="Times New Roman" w:hAnsi="Times New Roman" w:eastAsia="宋体"/>
        </w:rPr>
        <w:t>2.3.4 镜像选择与事务式获取</w:t>
      </w:r>
    </w:p>
    <w:p>
      <w:r>
        <w:rPr>
          <w:rFonts w:ascii="Times New Roman" w:hAnsi="Times New Roman" w:eastAsia="宋体"/>
        </w:rPr>
        <w:t>产品获取接口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全库同步在更新目录后遍历标签并复用相同事务逻辑；历史数据整理、目录树和数据集状态查询形成配套维护接口。相关命令、参数和状态恢复方式集中列入补充材料与版本化用户指南。</w:t>
      </w:r>
    </w:p>
    <w:p>
      <w:pPr>
        <w:pStyle w:val="Heading2"/>
      </w:pPr>
      <w:r>
        <w:rPr>
          <w:rFonts w:ascii="Times New Roman" w:hAnsi="Times New Roman" w:eastAsia="宋体"/>
        </w:rPr>
        <w:t>2.4 统一读取与模型输入组织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输入转换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型输入组织连接为连续公共数据流。用户以数据标签发现产品，经镜像选择和内容核验获得标准NetCDF，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全文核心主张、案例和评价指标的对应关系汇总于表3。</w:t>
      </w:r>
    </w:p>
    <w:p>
      <w:pPr>
        <w:ind w:firstLine="0"/>
      </w:pPr>
      <w:r>
        <w:rPr>
          <w:rFonts w:ascii="Times New Roman" w:hAnsi="Times New Roman" w:eastAsia="宋体"/>
          <w:b/>
        </w:rPr>
        <w:t>表3 GriddingMachine框架核心主张与评价设计</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核心主张</w:t>
            </w:r>
          </w:p>
        </w:tc>
        <w:tc>
          <w:tcPr>
            <w:tcW w:type="dxa" w:w="3060"/>
            <w:shd w:fill="D9EAF7"/>
          </w:tcPr>
          <w:p>
            <w:r>
              <w:rPr>
                <w:b/>
                <w:sz w:val="18"/>
              </w:rPr>
            </w:r>
            <w:r>
              <w:rPr>
                <w:rFonts w:ascii="Times New Roman" w:hAnsi="Times New Roman" w:eastAsia="宋体"/>
                <w:b/>
                <w:sz w:val="18"/>
              </w:rPr>
              <w:t>对应案例</w:t>
            </w:r>
          </w:p>
        </w:tc>
        <w:tc>
          <w:tcPr>
            <w:tcW w:type="dxa" w:w="3060"/>
            <w:shd w:fill="D9EAF7"/>
          </w:tcPr>
          <w:p>
            <w:r>
              <w:rPr>
                <w:b/>
                <w:sz w:val="18"/>
              </w:rPr>
            </w:r>
            <w:r>
              <w:rPr>
                <w:rFonts w:ascii="Times New Roman" w:hAnsi="Times New Roman" w:eastAsia="宋体"/>
                <w:b/>
                <w:sz w:val="18"/>
              </w:rPr>
              <w:t>主要评价指标</w:t>
            </w:r>
          </w:p>
        </w:tc>
      </w:tr>
      <w:tr>
        <w:tc>
          <w:tcPr>
            <w:tcW w:type="dxa" w:w="3060"/>
          </w:tcPr>
          <w:p>
            <w:r>
              <w:rPr>
                <w:sz w:val="18"/>
              </w:rPr>
            </w:r>
            <w:r>
              <w:rPr>
                <w:rFonts w:ascii="Times New Roman" w:hAnsi="Times New Roman" w:eastAsia="宋体"/>
                <w:sz w:val="18"/>
              </w:rPr>
              <w:t>异构数据标准化</w:t>
            </w:r>
          </w:p>
        </w:tc>
        <w:tc>
          <w:tcPr>
            <w:tcW w:type="dxa" w:w="3060"/>
          </w:tcPr>
          <w:p>
            <w:r>
              <w:rPr>
                <w:sz w:val="18"/>
              </w:rPr>
            </w:r>
            <w:r>
              <w:rPr>
                <w:rFonts w:ascii="Times New Roman" w:hAnsi="Times New Roman" w:eastAsia="宋体"/>
                <w:sz w:val="18"/>
              </w:rPr>
              <w:t>31组受控实例、OISST V2.1和ELEV</w:t>
            </w:r>
          </w:p>
        </w:tc>
        <w:tc>
          <w:tcPr>
            <w:tcW w:type="dxa" w:w="3060"/>
          </w:tcPr>
          <w:p>
            <w:r>
              <w:rPr>
                <w:sz w:val="18"/>
              </w:rPr>
            </w:r>
            <w:r>
              <w:rPr>
                <w:rFonts w:ascii="Times New Roman" w:hAnsi="Times New Roman" w:eastAsia="宋体"/>
                <w:sz w:val="18"/>
              </w:rPr>
              <w:t>维度与坐标、有效值掩膜、逐点物理值、重复生成摘要</w:t>
            </w:r>
          </w:p>
        </w:tc>
      </w:tr>
      <w:tr>
        <w:tc>
          <w:tcPr>
            <w:tcW w:type="dxa" w:w="3060"/>
          </w:tcPr>
          <w:p>
            <w:r>
              <w:rPr>
                <w:sz w:val="18"/>
              </w:rPr>
            </w:r>
            <w:r>
              <w:rPr>
                <w:rFonts w:ascii="Times New Roman" w:hAnsi="Times New Roman" w:eastAsia="宋体"/>
                <w:sz w:val="18"/>
              </w:rPr>
              <w:t>直接NetCDF分发效率</w:t>
            </w:r>
          </w:p>
        </w:tc>
        <w:tc>
          <w:tcPr>
            <w:tcW w:type="dxa" w:w="3060"/>
          </w:tcPr>
          <w:p>
            <w:r>
              <w:rPr>
                <w:sz w:val="18"/>
              </w:rPr>
            </w:r>
            <w:r>
              <w:rPr>
                <w:rFonts w:ascii="Times New Roman" w:hAnsi="Times New Roman" w:eastAsia="宋体"/>
                <w:sz w:val="18"/>
              </w:rPr>
              <w:t>ELEV与LAI</w:t>
            </w:r>
          </w:p>
        </w:tc>
        <w:tc>
          <w:tcPr>
            <w:tcW w:type="dxa" w:w="3060"/>
          </w:tcPr>
          <w:p>
            <w:r>
              <w:rPr>
                <w:sz w:val="18"/>
              </w:rPr>
            </w:r>
            <w:r>
              <w:rPr>
                <w:rFonts w:ascii="Times New Roman" w:hAnsi="Times New Roman" w:eastAsia="宋体"/>
                <w:sz w:val="18"/>
              </w:rPr>
              <w:t>端到端时间、传输字节、逻辑临时占用、SHA-256</w:t>
            </w:r>
          </w:p>
        </w:tc>
      </w:tr>
      <w:tr>
        <w:tc>
          <w:tcPr>
            <w:tcW w:type="dxa" w:w="3060"/>
          </w:tcPr>
          <w:p>
            <w:r>
              <w:rPr>
                <w:sz w:val="18"/>
              </w:rPr>
            </w:r>
            <w:r>
              <w:rPr>
                <w:rFonts w:ascii="Times New Roman" w:hAnsi="Times New Roman" w:eastAsia="宋体"/>
                <w:sz w:val="18"/>
              </w:rPr>
              <w:t>多镜像内容一致性</w:t>
            </w:r>
          </w:p>
        </w:tc>
        <w:tc>
          <w:tcPr>
            <w:tcW w:type="dxa" w:w="3060"/>
          </w:tcPr>
          <w:p>
            <w:r>
              <w:rPr>
                <w:sz w:val="18"/>
              </w:rPr>
            </w:r>
            <w:r>
              <w:rPr>
                <w:rFonts w:ascii="Times New Roman" w:hAnsi="Times New Roman" w:eastAsia="宋体"/>
                <w:sz w:val="18"/>
              </w:rPr>
              <w:t>13类受控状态、FTP与Zenodo</w:t>
            </w:r>
          </w:p>
        </w:tc>
        <w:tc>
          <w:tcPr>
            <w:tcW w:type="dxa" w:w="3060"/>
          </w:tcPr>
          <w:p>
            <w:r>
              <w:rPr>
                <w:sz w:val="18"/>
              </w:rPr>
            </w:r>
            <w:r>
              <w:rPr>
                <w:rFonts w:ascii="Times New Roman" w:hAnsi="Times New Roman" w:eastAsia="宋体"/>
                <w:sz w:val="18"/>
              </w:rPr>
              <w:t>候选顺序、回退状态、字节数、SHA-256、临时文件状态</w:t>
            </w:r>
          </w:p>
        </w:tc>
      </w:tr>
      <w:tr>
        <w:tc>
          <w:tcPr>
            <w:tcW w:type="dxa" w:w="3060"/>
          </w:tcPr>
          <w:p>
            <w:r>
              <w:rPr>
                <w:sz w:val="18"/>
              </w:rPr>
            </w:r>
            <w:r>
              <w:rPr>
                <w:rFonts w:ascii="Times New Roman" w:hAnsi="Times New Roman" w:eastAsia="宋体"/>
                <w:sz w:val="18"/>
              </w:rPr>
              <w:t>模型输入组织</w:t>
            </w:r>
          </w:p>
        </w:tc>
        <w:tc>
          <w:tcPr>
            <w:tcW w:type="dxa" w:w="3060"/>
          </w:tcPr>
          <w:p>
            <w:r>
              <w:rPr>
                <w:sz w:val="18"/>
              </w:rPr>
            </w:r>
            <w:r>
              <w:rPr>
                <w:rFonts w:ascii="Times New Roman" w:hAnsi="Times New Roman" w:eastAsia="宋体"/>
                <w:sz w:val="18"/>
              </w:rPr>
              <w:t>US-NR1陆面参数与ERA5气象驱动</w:t>
            </w:r>
          </w:p>
        </w:tc>
        <w:tc>
          <w:tcPr>
            <w:tcW w:type="dxa" w:w="3060"/>
          </w:tcPr>
          <w:p>
            <w:r>
              <w:rPr>
                <w:sz w:val="18"/>
              </w:rPr>
            </w:r>
            <w:r>
              <w:rPr>
                <w:rFonts w:ascii="Times New Roman" w:hAnsi="Times New Roman" w:eastAsia="宋体"/>
                <w:sz w:val="18"/>
              </w:rPr>
              <w:t>字段与形状、时间轴、量纲、逐点值、Emerald初始化与首步状态</w:t>
            </w:r>
          </w:p>
        </w:tc>
      </w:tr>
      <w:tr>
        <w:tc>
          <w:tcPr>
            <w:tcW w:type="dxa" w:w="3060"/>
          </w:tcPr>
          <w:p>
            <w:r>
              <w:rPr>
                <w:sz w:val="18"/>
              </w:rPr>
            </w:r>
            <w:r>
              <w:rPr>
                <w:rFonts w:ascii="Times New Roman" w:hAnsi="Times New Roman" w:eastAsia="宋体"/>
                <w:sz w:val="18"/>
              </w:rPr>
              <w:t>跨系统可复现运行</w:t>
            </w:r>
          </w:p>
        </w:tc>
        <w:tc>
          <w:tcPr>
            <w:tcW w:type="dxa" w:w="3060"/>
          </w:tcPr>
          <w:p>
            <w:r>
              <w:rPr>
                <w:sz w:val="18"/>
              </w:rPr>
            </w:r>
            <w:r>
              <w:rPr>
                <w:rFonts w:ascii="Times New Roman" w:hAnsi="Times New Roman" w:eastAsia="宋体"/>
                <w:sz w:val="18"/>
              </w:rPr>
              <w:t>本地环境与三系统持续集成</w:t>
            </w:r>
          </w:p>
        </w:tc>
        <w:tc>
          <w:tcPr>
            <w:tcW w:type="dxa" w:w="3060"/>
          </w:tcPr>
          <w:p>
            <w:r>
              <w:rPr>
                <w:sz w:val="18"/>
              </w:rPr>
            </w:r>
            <w:r>
              <w:rPr>
                <w:rFonts w:ascii="Times New Roman" w:hAnsi="Times New Roman" w:eastAsia="宋体"/>
                <w:sz w:val="18"/>
              </w:rPr>
              <w:t>核心测试完成状态、数据结构、摘要和接口状态</w:t>
            </w:r>
          </w:p>
        </w:tc>
      </w:tr>
    </w:tbl>
    <w:p>
      <w:pPr>
        <w:ind w:firstLine="0"/>
      </w:pPr>
      <w:r>
        <w:rPr>
          <w:rFonts w:ascii="Times New Roman" w:hAnsi="Times New Roman" w:eastAsia="宋体"/>
          <w:b/>
        </w:rPr>
        <w:t>Table 3 Core claims and evaluation design of the GriddingMachine framework.</w:t>
      </w:r>
      <w:r>
        <w:rPr>
          <w:rFonts w:ascii="Times New Roman" w:hAnsi="Times New Roman" w:eastAsia="宋体"/>
        </w:rPr>
        <w:t xml:space="preserve"> The cases and metrics connect heterogeneous-data standardization, direct NetCDF distribution, multi-mirror integrity, model-input organization, and cross-system reproducibility to their corresponding evidence.</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均完成，产品结构和逐点数值满足相同断言；人工方向审核进一步区分正向图和南北反转图。两类结果共同呈现共享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统一读取与模型输入组织</w:t>
      </w:r>
    </w:p>
    <w:p>
      <w:r>
        <w:rPr>
          <w:rFonts w:ascii="Times New Roman" w:hAnsi="Times New Roman" w:eastAsia="宋体"/>
        </w:rPr>
        <w:t>模型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跨操作系统复现设计</w:t>
      </w:r>
    </w:p>
    <w:p>
      <w:r>
        <w:rPr>
          <w:rFonts w:ascii="Times New Roman" w:hAnsi="Times New Roman" w:eastAsia="宋体"/>
        </w:rPr>
        <w:t>跨操作系统复现采用本地运行与持续集成相结合的设计。Windows和macOS本地环境运行生产矩阵、ELEV/LAI分发效率、13类镜像状态以及核心软件与Emerald接口；Linux与另外两个系统的干净持续集成环境运行29组非交互生产实例、40次确定性分发测量、65次镜像状态断言、核心软件测试和Emerald最小接口。统一项目依赖与参考数据用于比较产品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新版GriddingMachine的主要功能与应用表现汇总于表4。</w:t>
      </w:r>
    </w:p>
    <w:p>
      <w:pPr>
        <w:ind w:firstLine="0"/>
      </w:pPr>
      <w:r>
        <w:rPr>
          <w:rFonts w:ascii="Times New Roman" w:hAnsi="Times New Roman" w:eastAsia="宋体"/>
          <w:b/>
        </w:rPr>
        <w:t>表4 新版GriddingMachine的核心主张与主要证据</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核心主张</w:t>
            </w:r>
          </w:p>
        </w:tc>
        <w:tc>
          <w:tcPr>
            <w:tcW w:type="dxa" w:w="3060"/>
            <w:shd w:fill="D9EAF7"/>
          </w:tcPr>
          <w:p>
            <w:r>
              <w:rPr>
                <w:b/>
                <w:sz w:val="18"/>
              </w:rPr>
            </w:r>
            <w:r>
              <w:rPr>
                <w:rFonts w:ascii="Times New Roman" w:hAnsi="Times New Roman" w:eastAsia="宋体"/>
                <w:b/>
                <w:sz w:val="18"/>
              </w:rPr>
              <w:t>应用证据</w:t>
            </w:r>
          </w:p>
        </w:tc>
        <w:tc>
          <w:tcPr>
            <w:tcW w:type="dxa" w:w="3060"/>
            <w:shd w:fill="D9EAF7"/>
          </w:tcPr>
          <w:p>
            <w:r>
              <w:rPr>
                <w:b/>
                <w:sz w:val="18"/>
              </w:rPr>
            </w:r>
            <w:r>
              <w:rPr>
                <w:rFonts w:ascii="Times New Roman" w:hAnsi="Times New Roman" w:eastAsia="宋体"/>
                <w:b/>
                <w:sz w:val="18"/>
              </w:rPr>
              <w:t>主要结果</w:t>
            </w:r>
          </w:p>
        </w:tc>
      </w:tr>
      <w:tr>
        <w:tc>
          <w:tcPr>
            <w:tcW w:type="dxa" w:w="3060"/>
          </w:tcPr>
          <w:p>
            <w:r>
              <w:rPr>
                <w:sz w:val="18"/>
              </w:rPr>
            </w:r>
            <w:r>
              <w:rPr>
                <w:rFonts w:ascii="Times New Roman" w:hAnsi="Times New Roman" w:eastAsia="宋体"/>
                <w:sz w:val="18"/>
              </w:rPr>
              <w:t>异构数据可配置标准化</w:t>
            </w:r>
          </w:p>
        </w:tc>
        <w:tc>
          <w:tcPr>
            <w:tcW w:type="dxa" w:w="3060"/>
          </w:tcPr>
          <w:p>
            <w:r>
              <w:rPr>
                <w:sz w:val="18"/>
              </w:rPr>
            </w:r>
            <w:r>
              <w:rPr>
                <w:rFonts w:ascii="Times New Roman" w:hAnsi="Times New Roman" w:eastAsia="宋体"/>
                <w:sz w:val="18"/>
              </w:rPr>
              <w:t>OISST、ELEV与31组受控实例</w:t>
            </w:r>
          </w:p>
        </w:tc>
        <w:tc>
          <w:tcPr>
            <w:tcW w:type="dxa" w:w="3060"/>
          </w:tcPr>
          <w:p>
            <w:r>
              <w:rPr>
                <w:sz w:val="18"/>
              </w:rPr>
            </w:r>
            <w:r>
              <w:rPr>
                <w:rFonts w:ascii="Times New Roman" w:hAnsi="Times New Roman" w:eastAsia="宋体"/>
                <w:sz w:val="18"/>
              </w:rPr>
              <w:t>OISST坐标、有效值掩膜和691 150个物理值与独立参考逐点一致；二维和三维转换获得一致结构与数值</w:t>
            </w:r>
          </w:p>
        </w:tc>
      </w:tr>
      <w:tr>
        <w:tc>
          <w:tcPr>
            <w:tcW w:type="dxa" w:w="3060"/>
          </w:tcPr>
          <w:p>
            <w:r>
              <w:rPr>
                <w:sz w:val="18"/>
              </w:rPr>
            </w:r>
            <w:r>
              <w:rPr>
                <w:rFonts w:ascii="Times New Roman" w:hAnsi="Times New Roman" w:eastAsia="宋体"/>
                <w:sz w:val="18"/>
              </w:rPr>
              <w:t>直接NetCDF改善所测产品的获取效率</w:t>
            </w:r>
          </w:p>
        </w:tc>
        <w:tc>
          <w:tcPr>
            <w:tcW w:type="dxa" w:w="3060"/>
          </w:tcPr>
          <w:p>
            <w:r>
              <w:rPr>
                <w:sz w:val="18"/>
              </w:rPr>
            </w:r>
            <w:r>
              <w:rPr>
                <w:rFonts w:ascii="Times New Roman" w:hAnsi="Times New Roman" w:eastAsia="宋体"/>
                <w:sz w:val="18"/>
              </w:rPr>
              <w:t>内部压缩的ELEV与LAI</w:t>
            </w:r>
          </w:p>
        </w:tc>
        <w:tc>
          <w:tcPr>
            <w:tcW w:type="dxa" w:w="3060"/>
          </w:tcPr>
          <w:p>
            <w:r>
              <w:rPr>
                <w:sz w:val="18"/>
              </w:rPr>
            </w:r>
            <w:r>
              <w:rPr>
                <w:rFonts w:ascii="Times New Roman" w:hAnsi="Times New Roman" w:eastAsia="宋体"/>
                <w:sz w:val="18"/>
              </w:rPr>
              <w:t>环境A的端到端中位时间分别降低48.3%和82.9%，环境B分别降低53.6%和69.2%</w:t>
            </w:r>
          </w:p>
        </w:tc>
      </w:tr>
      <w:tr>
        <w:tc>
          <w:tcPr>
            <w:tcW w:type="dxa" w:w="3060"/>
          </w:tcPr>
          <w:p>
            <w:r>
              <w:rPr>
                <w:sz w:val="18"/>
              </w:rPr>
            </w:r>
            <w:r>
              <w:rPr>
                <w:rFonts w:ascii="Times New Roman" w:hAnsi="Times New Roman" w:eastAsia="宋体"/>
                <w:sz w:val="18"/>
              </w:rPr>
              <w:t>多镜像获取保持内容一致</w:t>
            </w:r>
          </w:p>
        </w:tc>
        <w:tc>
          <w:tcPr>
            <w:tcW w:type="dxa" w:w="3060"/>
          </w:tcPr>
          <w:p>
            <w:r>
              <w:rPr>
                <w:sz w:val="18"/>
              </w:rPr>
            </w:r>
            <w:r>
              <w:rPr>
                <w:rFonts w:ascii="Times New Roman" w:hAnsi="Times New Roman" w:eastAsia="宋体"/>
                <w:sz w:val="18"/>
              </w:rPr>
              <w:t>13类受控状态与FTP—Zenodo访问</w:t>
            </w:r>
          </w:p>
        </w:tc>
        <w:tc>
          <w:tcPr>
            <w:tcW w:type="dxa" w:w="3060"/>
          </w:tcPr>
          <w:p>
            <w:r>
              <w:rPr>
                <w:sz w:val="18"/>
              </w:rPr>
            </w:r>
            <w:r>
              <w:rPr>
                <w:rFonts w:ascii="Times New Roman" w:hAnsi="Times New Roman" w:eastAsia="宋体"/>
                <w:sz w:val="18"/>
              </w:rPr>
              <w:t>受控回退记录、校外Zenodo记录和校园网双镜像记录均通过字节数与SHA-256核验</w:t>
            </w:r>
          </w:p>
        </w:tc>
      </w:tr>
      <w:tr>
        <w:tc>
          <w:tcPr>
            <w:tcW w:type="dxa" w:w="3060"/>
          </w:tcPr>
          <w:p>
            <w:r>
              <w:rPr>
                <w:sz w:val="18"/>
              </w:rPr>
            </w:r>
            <w:r>
              <w:rPr>
                <w:rFonts w:ascii="Times New Roman" w:hAnsi="Times New Roman" w:eastAsia="宋体"/>
                <w:sz w:val="18"/>
              </w:rPr>
              <w:t>标准产品贯通模型输入组织</w:t>
            </w:r>
          </w:p>
        </w:tc>
        <w:tc>
          <w:tcPr>
            <w:tcW w:type="dxa" w:w="3060"/>
          </w:tcPr>
          <w:p>
            <w:r>
              <w:rPr>
                <w:sz w:val="18"/>
              </w:rPr>
            </w:r>
            <w:r>
              <w:rPr>
                <w:rFonts w:ascii="Times New Roman" w:hAnsi="Times New Roman" w:eastAsia="宋体"/>
                <w:sz w:val="18"/>
              </w:rPr>
              <w:t>US-NR1陆面参数与ERA5气象驱动</w:t>
            </w:r>
          </w:p>
        </w:tc>
        <w:tc>
          <w:tcPr>
            <w:tcW w:type="dxa" w:w="3060"/>
          </w:tcPr>
          <w:p>
            <w:r>
              <w:rPr>
                <w:sz w:val="18"/>
              </w:rPr>
            </w:r>
            <w:r>
              <w:rPr>
                <w:rFonts w:ascii="Times New Roman" w:hAnsi="Times New Roman" w:eastAsia="宋体"/>
                <w:sz w:val="18"/>
              </w:rPr>
              <w:t>14类陆面产品和8类ERA5产品形成模型输入，8784个逐时值逐字段一致并完成Emerald初始化与首步</w:t>
            </w:r>
          </w:p>
        </w:tc>
      </w:tr>
      <w:tr>
        <w:tc>
          <w:tcPr>
            <w:tcW w:type="dxa" w:w="3060"/>
          </w:tcPr>
          <w:p>
            <w:r>
              <w:rPr>
                <w:sz w:val="18"/>
              </w:rPr>
            </w:r>
            <w:r>
              <w:rPr>
                <w:rFonts w:ascii="Times New Roman" w:hAnsi="Times New Roman" w:eastAsia="宋体"/>
                <w:sz w:val="18"/>
              </w:rPr>
              <w:t>核心路径具备跨系统复现能力</w:t>
            </w:r>
          </w:p>
        </w:tc>
        <w:tc>
          <w:tcPr>
            <w:tcW w:type="dxa" w:w="3060"/>
          </w:tcPr>
          <w:p>
            <w:r>
              <w:rPr>
                <w:sz w:val="18"/>
              </w:rPr>
            </w:r>
            <w:r>
              <w:rPr>
                <w:rFonts w:ascii="Times New Roman" w:hAnsi="Times New Roman" w:eastAsia="宋体"/>
                <w:sz w:val="18"/>
              </w:rPr>
              <w:t>本地运行与三系统持续集成</w:t>
            </w:r>
          </w:p>
        </w:tc>
        <w:tc>
          <w:tcPr>
            <w:tcW w:type="dxa" w:w="3060"/>
          </w:tcPr>
          <w:p>
            <w:r>
              <w:rPr>
                <w:sz w:val="18"/>
              </w:rPr>
            </w:r>
            <w:r>
              <w:rPr>
                <w:rFonts w:ascii="Times New Roman" w:hAnsi="Times New Roman" w:eastAsia="宋体"/>
                <w:sz w:val="18"/>
              </w:rPr>
              <w:t>确定性生产、分发、镜像状态和最小模型接口获得一致的数据结构、摘要与接口状态</w:t>
            </w:r>
          </w:p>
        </w:tc>
      </w:tr>
    </w:tbl>
    <w:p>
      <w:pPr>
        <w:ind w:firstLine="0"/>
      </w:pPr>
      <w:r>
        <w:rPr>
          <w:rFonts w:ascii="Times New Roman" w:hAnsi="Times New Roman" w:eastAsia="宋体"/>
          <w:b/>
        </w:rPr>
        <w:t>Table 4 Core claims and principal evidence for the updated GriddingMachine.</w:t>
      </w:r>
      <w:r>
        <w:rPr>
          <w:rFonts w:ascii="Times New Roman" w:hAnsi="Times New Roman" w:eastAsia="宋体"/>
        </w:rPr>
        <w:t xml:space="preserve"> The table links configurable standardization, direct NetCDF distribution, multi-mirror integrity, model-input organization, and cross-system reproducibility to their corresponding application evidence.</w:t>
      </w:r>
    </w:p>
    <w:p>
      <w:pPr>
        <w:pStyle w:val="Heading2"/>
      </w:pPr>
      <w:r>
        <w:rPr>
          <w:rFonts w:ascii="Times New Roman" w:hAnsi="Times New Roman" w:eastAsia="宋体"/>
        </w:rPr>
        <w:t>4.1 标准产品生产与OISST结果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正向图与南北反转图由人工空间检查准确区分。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产品的传输字节分别增加6.43%和2.16%，逻辑临时占用分别减少约48%和49%。80次SHA-256摘要核验结果一致。对于所测的两个内部压缩产品，直接分发以少量传输字节增加换取了额外解包步骤和临时文件共存的减少。</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校园网双镜像实验是另一组独立记录：4个产品分别从FTP和Zenodo重复获取3次，两类镜像各形成12次下载，共24次结果，均达到登记字节数并通过SHA-256核验。4个文件的FTP中位下载时间为0.071～0.356 s，Zenodo为1.091～14.092 s；FTP往返延迟为1.0～13.5 ms。在本组校园网观测中，延迟辅助排序与实际传输顺序一致，机构镜像与公共镜像提供了内容一致的分发副本。</w:t>
      </w:r>
    </w:p>
    <w:p>
      <w:pPr>
        <w:pStyle w:val="Heading2"/>
      </w:pPr>
      <w:r>
        <w:rPr>
          <w:rFonts w:ascii="Times New Roman" w:hAnsi="Times New Roman" w:eastAsia="宋体"/>
        </w:rPr>
        <w:t>4.4 统一读取与模型输入组织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，使标准产品元数据、数值尺度和模型换算形成一致的量纲链条。真实年度案例由此将模型输入组织从字段组合推进到格点提取、时间轴构建、量纲衔接和模型首步计算的完整过程。</w:t>
      </w:r>
    </w:p>
    <w:p>
      <w:pPr>
        <w:pStyle w:val="Heading2"/>
      </w:pPr>
      <w:r>
        <w:rPr>
          <w:rFonts w:ascii="Times New Roman" w:hAnsi="Times New Roman" w:eastAsia="宋体"/>
        </w:rPr>
        <w:t>4.5 跨操作系统复现结果</w:t>
      </w:r>
    </w:p>
    <w:p>
      <w:r>
        <w:rPr>
          <w:rFonts w:ascii="Times New Roman" w:hAnsi="Times New Roman" w:eastAsia="宋体"/>
        </w:rPr>
        <w:t>Windows、macOS和Linux持续集成环境分别完成29组非交互生产实例、40次确定性分发测量和65次镜像状态断言，产品结构、逐点数值、SHA-256摘要、正式文件状态和临时文件回收结果一致。GriddingMachine与GriddingMachineDatasets核心测试以及Emerald合成输入最小接口也在三个系统环境中完成，形成固定依赖下的跨系统核心路径证据。</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型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生命周期解耦与维护方式变化</w:t>
      </w:r>
    </w:p>
    <w:p>
      <w:r>
        <w:rPr>
          <w:rFonts w:ascii="Times New Roman" w:hAnsi="Times New Roman" w:eastAsia="宋体"/>
        </w:rPr>
        <w:t>2022版GriddingMachine建立了统一网格、变量约定和标签化数据访问[4]。当前更新的关键变化是重新划分维护单元：共享YAML契约保存从异构源结构到标准产品的处理意图，独立数据目录维护产品标签、镜像和完整性元数据，访问软件则围绕稳定标签组织读取与模型输入。数据处理规则、产品目录和软件接口由此能够在共同规范下分别更新，减少产品扩展对软件发布周期的依赖。</w:t>
      </w:r>
    </w:p>
    <w:p>
      <w:r>
        <w:rPr>
          <w:rFonts w:ascii="Times New Roman" w:hAnsi="Times New Roman" w:eastAsia="宋体"/>
        </w:rPr>
        <w:t>OISST案例说明了这种解耦在生产端的作用。源变量的单例维度、存储缩放和经度范围由适配器与YAML契约共同表达，标准化结果再通过坐标、有效值掩膜和逐点物理值与独立参考连接。受控实例、ELEV回环和数据贡献流程进一步表明，同一生产契约能够承接二维与三维结构、坐标变换、数值处理和Gapfill，使配置意图、产品内容和目录登记形成连续的复现链。</w:t>
      </w:r>
    </w:p>
    <w:p>
      <w:pPr>
        <w:pStyle w:val="Heading2"/>
      </w:pPr>
      <w:r>
        <w:rPr>
          <w:rFonts w:ascii="Times New Roman" w:hAnsi="Times New Roman" w:eastAsia="宋体"/>
        </w:rPr>
        <w:t>5.2 分发效率与内容完整性机制</w:t>
      </w:r>
    </w:p>
    <w:p>
      <w:r>
        <w:rPr>
          <w:rFonts w:ascii="Times New Roman" w:hAnsi="Times New Roman" w:eastAsia="宋体"/>
        </w:rPr>
        <w:t>直接NetCDF的时间收益来自省去外层归档解包及相应的临时文件操作。对于已采用内部压缩的ELEV和LAI产品，外层</w:t>
      </w:r>
      <w:r>
        <w:rPr>
          <w:rFonts w:ascii="Consolas" w:hAnsi="Consolas" w:eastAsia="等线"/>
        </w:rPr>
        <w:t>tar.gz</w:t>
      </w:r>
      <w:r>
        <w:rPr>
          <w:rFonts w:ascii="Times New Roman" w:hAnsi="Times New Roman" w:eastAsia="宋体"/>
        </w:rPr>
        <w:t>仅减少2.16%～6.43%的传输字节，而直接NetCDF在环境A中分别获得48.3%和82.9%的端到端中位时间降幅，在环境B中分别获得53.6%和69.2%的降幅，并将逻辑临时占用降低约一半。该结果显示，分发单元的选择应同时考虑文件内部压缩、传输规模和首次读取路径；本文观测为内部压缩、单体NetCDF产品提供了直接分发依据。</w:t>
      </w:r>
    </w:p>
    <w:p>
      <w:r>
        <w:rPr>
          <w:rFonts w:ascii="Times New Roman" w:hAnsi="Times New Roman" w:eastAsia="宋体"/>
        </w:rPr>
        <w:t>多镜像机制将访问顺序与内容判定分为两个层次。往返延迟用于辅助安排候选顺序，全部地址仍进入回退队列；字节数和SHA-256则决定下载内容能否进入正式数据目录。13类受控状态呈现了排序、回退、缓存和完整性状态，校外Zenodo与校园网FTP—Zenodo观测进一步显示机构镜像和公共镜像能够提供内容一致的分发副本。事务式获取由此把网络可达性变化限制在临时传输阶段，并以内容摘要连接目录登记值和正式文件。</w:t>
      </w:r>
    </w:p>
    <w:p>
      <w:pPr>
        <w:pStyle w:val="Heading2"/>
      </w:pPr>
      <w:r>
        <w:rPr>
          <w:rFonts w:ascii="Times New Roman" w:hAnsi="Times New Roman" w:eastAsia="宋体"/>
        </w:rPr>
        <w:t>5.3 从标准产品到模型输入</w:t>
      </w:r>
    </w:p>
    <w:p>
      <w:r>
        <w:rPr>
          <w:rFonts w:ascii="Times New Roman" w:hAnsi="Times New Roman" w:eastAsia="宋体"/>
        </w:rPr>
        <w:t>模型输入组织层的作用是把单个标准产品进一步转换为具有共同空间位置、字段结构、时间轴和量纲关系的模型数据。US-NR1案例中，14类陆面产品形成34个模型字段，8类ERA5产品形成8784步逐时气象序列；应用层字段与底层NetCDF逐点一致，FDOY与独立时间公式一致，降水单位与模型水量换算相衔接。Emerald初始化和60 s首步计算将这条链路推进至模型接口和初始状态更新，构成本文“模型就绪”的直接证据。</w:t>
      </w:r>
    </w:p>
    <w:p>
      <w:r>
        <w:rPr>
          <w:rFonts w:ascii="Times New Roman" w:hAnsi="Times New Roman" w:eastAsia="宋体"/>
        </w:rPr>
        <w:t>当前案例集中于2020年US-NR1格点，提供了真实陆面—气象联合组织的完整范例。相同的标签、格点索引和字段契约为后续多区域、多年份和长期积分提供统一入口；进一步积累不同生态区和时间范围的应用结果，将扩展模型输入组织层的科学应用范围。</w:t>
      </w:r>
    </w:p>
    <w:p>
      <w:pPr>
        <w:pStyle w:val="Heading2"/>
      </w:pPr>
      <w:r>
        <w:rPr>
          <w:rFonts w:ascii="Times New Roman" w:hAnsi="Times New Roman" w:eastAsia="宋体"/>
        </w:rPr>
        <w:t>5.4 与相关基础设施的互补关系及扩展方向</w:t>
      </w:r>
    </w:p>
    <w:p>
      <w:r>
        <w:rPr>
          <w:rFonts w:ascii="Times New Roman" w:hAnsi="Times New Roman" w:eastAsia="宋体"/>
        </w:rPr>
        <w:t>NetCDF以维度、变量和属性构成机器无关的多维科学数据抽象[5]，地球系统数据立方体强调多变量时空数据的共同组织[6]，Julia的多重派发与专业化为科学数据接口提供计算实现基础[7]。Earth Engine把大规模地理空间数据与云端计算结合[3]；ESGF通过分布式节点支撑气候模式数据发现与访问[12]；Pangeo及Pangeo Forge强调云优化数据和可复用生产配方[13-14]。GriddingMachine与这些体系形成互补，面向经过选择和统一的全球规则网格产品，以及按固定标签在Julia工作流中组织参数和气象驱动的应用场景。</w:t>
      </w:r>
    </w:p>
    <w:p>
      <w:r>
        <w:rPr>
          <w:rFonts w:ascii="Times New Roman" w:hAnsi="Times New Roman" w:eastAsia="宋体"/>
        </w:rPr>
        <w:t>国内地球系统科学数据共享研究强调目录体系和规范关键词的作用[15]；Pooch以文件名、URL和SHA-256注册表组织获取与缓存[16]；STAC提供广泛地理空间资产的通用元数据和查询结构[17]。GriddingMachine的领域特征在于把上游YAML生产契约、标准NetCDF、事务式多镜像获取和下游模型字段组织连接在同一生命周期中，并以轻量目录适配机构存储与公共存储。</w:t>
      </w:r>
    </w:p>
    <w:p>
      <w:r>
        <w:rPr>
          <w:rFonts w:ascii="Times New Roman" w:hAnsi="Times New Roman" w:eastAsia="宋体"/>
        </w:rPr>
        <w:t>标签、独立目录、多URL、统一网格和版本化配置分别对应FAIR原则中的发现、获取、互操作和复用环节[1]。FAIR4RS对软件持续演化和版本管理的强调[18]、TRUST对数字资源库透明度与技术能力的要求[19]，以及软件引用原则中的可识别版本记录[8]，共同支持代码、配置和数据制品的联合归档。GriddingMachine以固定软件标签、产品摘要和处理记录建立相应的工程基础，并与我国科学数据中心持续推进的标准化元数据和清晰使用信息相呼应[20]。</w:t>
      </w:r>
    </w:p>
    <w:p>
      <w:r>
        <w:rPr>
          <w:rFonts w:ascii="Times New Roman" w:hAnsi="Times New Roman" w:eastAsia="宋体"/>
        </w:rPr>
        <w:t>共享YAML契约为历史产品迁移以及非规则网格、区域投影和复杂时间坐标的源适配提供配置入口，围绕OISST建立的异构产品生产链也为多时段海洋和气象数据扩展提供范式。随着目录服务、持久归档、质量报告和更多模型适配逐步完善，该框架可进一步增强数据发现、版本引用及跨团队复用能力。</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schema、显式源维度映射、Gapfill、独立数据目录、直接NetCDF、事务式获取及统一读取接口组成的数据生命周期，连接异构源数据生产、完整性可核验分发和模型输入组织。</w:t>
      </w:r>
    </w:p>
    <w:p>
      <w:r>
        <w:rPr>
          <w:rFonts w:ascii="Times New Roman" w:hAnsi="Times New Roman" w:eastAsia="宋体"/>
        </w:rPr>
        <w:t>OISST V2.1产品从四维源结构生成1440×720标准海表温度产品，坐标、有效值掩膜和691 150个物理值与独立参考逐点一致。对于已经内部压缩的ELEV和LAI产品，直接NetCDF在环境A中将缓存预热后的端到端中位时间分别降低48.3%和82.9%，在环境B中分别降低53.6%和69.2%；校园网内4个代表性产品通过FTP与Zenodo完成24次内容一致的双镜像获取。14类陆面产品与8类ERA5逐时产品在US-NR1形成参数和气象驱动，8个气象字段的8784个时间步与底层NetCDF逐点一致，并完成Emerald初始化和60 s首步计算。</w:t>
      </w:r>
    </w:p>
    <w:p>
      <w:r>
        <w:rPr>
          <w:rFonts w:ascii="Times New Roman" w:hAnsi="Times New Roman" w:eastAsia="宋体"/>
        </w:rPr>
        <w:t>GriddingMachine由此形成面向地球系统模型的轻量数据生产与完整性可核验分发基础设施。海温产品生产、双镜像分发以及陆面—气象参数联合组织共同体现框架对全球规则网格数据的贯通能力；ERA5案例进一步连接真实逐时气象产品的格点读取、时间组织、量纲适配和模型调用，为后续多区域、多时段产品组织及长期模拟应用提供统一接口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，标准NetCDF产品由中科大机构FTP提供；PPT修订制品以V1_R1物理文件发布，逻辑标签保持V1。独立目录支持在同一逻辑标签下继续登记Zenodo等内容一致的公共镜像。投稿代码分别固定于</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标签，本轮审稿修订后的论文与复现材料固定于</w:t>
      </w:r>
      <w:r>
        <w:rPr>
          <w:rFonts w:ascii="Consolas" w:hAnsi="Consolas" w:eastAsia="等线"/>
        </w:rPr>
        <w:t>griddingmachine-manuscript-2026-v2</w:t>
      </w:r>
      <w:r>
        <w:rPr>
          <w:rFonts w:ascii="Times New Roman" w:hAnsi="Times New Roman" w:eastAsia="宋体"/>
        </w:rPr>
        <w:t>标签；</w:t>
      </w:r>
      <w:r>
        <w:rPr>
          <w:rFonts w:ascii="Consolas" w:hAnsi="Consolas" w:eastAsia="等线"/>
        </w:rPr>
        <w:t>论文/投稿版本锁定.toml</w:t>
      </w:r>
      <w:r>
        <w:rPr>
          <w:rFonts w:ascii="Times New Roman" w:hAnsi="Times New Roman" w:eastAsia="宋体"/>
        </w:rPr>
        <w:t>记录对应提交、数据摘要及发布地址。</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