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preprocessing rules, unit conversions, dataset identifiers, and distribution methods require individual modeling efforts to maintain separate databases, complicating ongoing model development and evaluation. Building on the 2022 release of GriddingMachine, this study improves data preprocessing, distribution, and reading. Shared YAML configurations describe source data structures and transformation rules; an independent catalog manages dataset tags, mirrors, and integrity metadata; and unified interfaces organize land parameters and meteorological forcing. In addition to Julia support, we have adapted automatic downloading of the updated datasets for MATLAB, Octave, Python, and R, and added automatic data retrieval interfaces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面向本地模式运行建立具有统一空间、变量和元数据约定的科研数据库，对于减少重复整理和保证输入一致性具有实际意义。</w:t>
      </w:r>
    </w:p>
    <w:p>
      <w:r>
        <w:rPr>
          <w:rFonts w:ascii="Times New Roman" w:hAnsi="Times New Roman" w:eastAsia="宋体"/>
        </w:rPr>
        <w:t>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必要的。</w:t>
      </w:r>
    </w:p>
    <w:p>
      <w:r>
        <w:rPr>
          <w:rFonts w:ascii="Times New Roman" w:hAnsi="Times New Roman" w:eastAsia="宋体"/>
        </w:rPr>
        <w:t>Wang等[4]于2022年发布了基于Julia语言的GriddingMachine数据库和软件，用于将常用于陆面和地球系统模拟的全球数据处理为具有统一空间和变量约定的NetCDF文件，并通过标签、Artifacts.toml和Julia 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NetCDF保持衔接。</w:t>
      </w:r>
    </w:p>
    <w:p>
      <w:r>
        <w:rPr>
          <w:rFonts w:ascii="Times New Roman" w:hAnsi="Times New Roman" w:eastAsia="宋体"/>
        </w:rPr>
        <w:t>本文在2022版GriddingMachine基础上，更新数据预处理、数据分发和数据读取流程，形成数据生产与标准化、数据目录与获取、模式输入组织三个相互衔接的环节。研究通过受控配置和维度变换实例、OISST V2.1标准化、ELEV与LAI分发效率比较、FTP—Zenodo镜像获取以及US-NR1模式输入案例，评价新版框架的数据一致性、可执行性和接口适配能力；同时适配MATLAB、Octave、Python和R对新版数据的自动获取，并新增C和Fortran的自动获取入口。</w:t>
      </w:r>
    </w:p>
    <w:p>
      <w:r>
        <w:rPr>
          <w:rFonts w:ascii="Times New Roman" w:hAnsi="Times New Roman" w:eastAsia="宋体"/>
        </w:rPr>
        <w:t>围绕这一问题，新版GriddingMachine形成三个相互衔接的功能层。第一，数据生产与标准化层以共享YAML配置规范表达源维度、坐标、数值变换、Gapfill和质量控制，使异构源到标准NetCDF的转换规则成为可执行生产契约。第二，数据目录与可信分发层将数据目录与访问软件解耦，以逻辑标签连接发布副本，并通过直接NetCDF与事务式获取组织下载路径；对于登记了文件字节数和SHA-256的条目，获取流程进一步执行严格内容核验以维护稳定产品标识。第三，模式输入组织层以稳定标签连接统一读取、陆面参数融合和气象驱动组织，使标准产品形成满足模型接口要求的数据结构。三层共同构成“异构数据生产—产品登记与完整性核验—模式输入组织”的连续路径。</w:t>
      </w:r>
    </w:p>
    <w:p>
      <w:r>
        <w:rPr>
          <w:rFonts w:ascii="Times New Roman" w:hAnsi="Times New Roman" w:eastAsia="宋体"/>
        </w:rPr>
        <w:t>本文采用受控实例与真实地学数据分层评价上述路径：以31组生产实例和OISST V2.1数据转换[9]检验标准化规则及真实异构源适配；以ELEV和LAI比较直接NetCDF与外层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场景及FTP—Zenodo同文件获取检验事务式多镜像机制；以14类陆面数据和8类ERA5逐时数据[10]构成的US-NR1案例检验标准NetCDF到模式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