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 filling）及质量控制；数据目录与获取层以逻辑标签连接数据副本，并对登记了文件字节数和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由三个相互衔接的数据生命周期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统一整场、周期和格点读取，并保留旧名称别名</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缺失值填补、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缺失值填补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国科学技术大学（以下简称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中科大校内网 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