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模式（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四维源结构转换为1440×720标准网格，691 150个有效格点及345 650个缺失格点与独立参考逐点一致；在两个操作系统环境中，两个内部压缩产品采用直接NetCDF后，缓存预热的端到端中位时间分别较外层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operating-system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机构镜像和公共镜像的可达性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缓存预热后的端到端中位时间在两个操作系统环境中分别降低48.3%～82.9%和53.6%～69.2%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校园网FTP与Zenodo完成24次同文件下载，内容摘要与目录登记值一致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内容摘要核验结果一致。对于已经采用NetCDF内部压缩的数据产品，直接分发减少了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内容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