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在 MATLAB、Octave、Python、R、C 和 Fortran 程序中调用统一的数据获取接口，自动下载新版网格数据，并通过 Julia 接口完成标准化数据的读取和模式输入组织，减少不同地球系统模式重复整理和维护数据的工作，为科学研究与应用提供便利。</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dataset tags, mirrors, and integrity metadata; and unified interfaces organize land parameters and meteorological forcing. In addition to Julia, we have adapted automatic downloading of the updated data for MATLAB, Octave, Python, and R, and added automatic data retrieval entry points for C and Fortran. These updates enable researchers to process, retrieve, and access gridded data through a consistent workflow, reducing repeated data preparation and maintenance across Earth system modeling workflows and facilitating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配置规范表达源维度、坐标、数值变换和缺失值填补（Gapfill）以及质量控制；数据目录与获取层以逻辑标签连接数据副本，并对登记了文件字节数和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读取</w:t>
            </w:r>
          </w:p>
        </w:tc>
        <w:tc>
          <w:tcPr>
            <w:tcW w:type="dxa" w:w="2211"/>
          </w:tcPr>
          <w:p>
            <w:r>
              <w:rPr>
                <w:sz w:val="18"/>
              </w:rPr>
            </w:r>
            <w:r>
              <w:rPr>
                <w:rFonts w:ascii="Consolas" w:hAnsi="Consolas" w:eastAsia="Songti SC"/>
                <w:sz w:val="18"/>
              </w:rPr>
              <w:t>read_LUT</w:t>
            </w:r>
          </w:p>
        </w:tc>
        <w:tc>
          <w:tcPr>
            <w:tcW w:type="dxa" w:w="2211"/>
          </w:tcPr>
          <w:p>
            <w:r>
              <w:rPr>
                <w:sz w:val="18"/>
              </w:rPr>
            </w:r>
            <w:r>
              <w:rPr>
                <w:rFonts w:ascii="Consolas" w:hAnsi="Consolas" w:eastAsia="Songti SC"/>
                <w:sz w:val="18"/>
              </w:rPr>
              <w:t>read_dataset</w:t>
            </w:r>
            <w:r>
              <w:rPr>
                <w:rFonts w:ascii="Times New Roman" w:hAnsi="Times New Roman" w:eastAsia="Songti SC"/>
                <w:sz w:val="18"/>
              </w:rPr>
              <w:t>，旧名称保留为别名</w:t>
            </w:r>
          </w:p>
        </w:tc>
        <w:tc>
          <w:tcPr>
            <w:tcW w:type="dxa" w:w="2211"/>
          </w:tcPr>
          <w:p>
            <w:r>
              <w:rPr>
                <w:sz w:val="18"/>
              </w:rPr>
            </w:r>
            <w:r>
              <w:rPr>
                <w:rFonts w:ascii="Times New Roman" w:hAnsi="Times New Roman" w:eastAsia="Songti SC"/>
                <w:sz w:val="18"/>
              </w:rPr>
              <w:t>全球规则经纬网整场、周期和站点读取</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product.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products using direct NetCDF and external `tar.gz` archives.</w:t>
      </w:r>
      <w:r>
        <w:rPr>
          <w:rFonts w:ascii="Times New Roman" w:hAnsi="Times New Roman" w:eastAsia="Songti SC"/>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