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各模式仍需分别整理和维护数据库，给模式持续更新和验证带来不必要的困难。本文在2022版GriddingMachine基础上，优化数据预处理、数据分发及数据读取：以共享配置组织数据处理规则，建立统一的标准化流程；采用直接NetCDF分发和独立数据目录，简化文件获取与数据更新；在统一读取基础上组织陆面参数和气象驱动，衔接多源数据与模式输入。应用案例表明，标准化后的坐标与物理值均与独立参考一致，直接NetCDF分发降低了访问开销，多源网格数据能够形成满足模式接口要求的输入。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researchers to organize and maintain databases for individual models, complicating continued model development and evaluation. Building on the 2022 release of GriddingMachine, this study improves data preprocessing, distribution, and reading. A shared configuration organizes processing rules within a standardized workflow; direct NetCDF distribution and an independent catalog simplify file acquisition and data updates; and land parameters and meteorological forcing from multiple sources are assembled into model inputs on the basis of unified reading. Application cases show that standardized coordinates and physical values agree with independent references, direct NetCDF distribution reduces access overhead, and gridded data from multiple sources can be assembled into inputs that meet model-interface requirements.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为促进科学数据的发现、访问和复用，FAIR原则强调可发现（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eusable）[1]。NetCDF适合组织多维科学数据及其坐标信息[2]，CF元数据约定进一步规范变量、坐标和时空属性[3]。Google Earth Engine等云平台通过改善数据表达、发现、访问及计算，提升了大尺度地学数据的访问和分析能力[4]。这些原则、格式与平台为数据复用提供了基础；本地模式试验还需要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的维护与应用需求进一步增加：处理规则主要保存在数据源专用脚本中，新增数据需分别适配；标准NetCDF经外层tar.gz归档后分发，使用时仍需解包，数据目录随软件包维护也使数据更新与软件发布相互关联；在获得标准网格数据后，具体模式所需的参数和气象序列仍由应用程序进一步组合，并完成时间与单位衔接。</w:t>
      </w:r>
    </w:p>
    <w:p>
      <w:r>
        <w:rPr>
          <w:rFonts w:ascii="Times New Roman" w:hAnsi="Times New Roman" w:eastAsia="Songti SC"/>
          <w:b w:val="0"/>
        </w:rPr>
        <w:t>针对这些需求，框架改进需要提高处理规则的复用程度，使数据维护能够独立开展，并加强标准网格数据与模式接口的衔接。数据源特有的转换规则与通用程序分开后，新增数据可沿用已有流程；文件分发减少外层归档，并将数据目录与访问软件分开维护，有助于简化获取和更新；在一致的网格读取基础上组织参数、时间轴和单位换算，则可减少各模式重复编写数据接入程序。这些环节通过标准NetCDF和数据标签连接，保持从源数据处理到模式使用的连续性。</w:t>
      </w:r>
    </w:p>
    <w:p>
      <w:r>
        <w:rPr>
          <w:rFonts w:ascii="Times New Roman" w:hAnsi="Times New Roman" w:eastAsia="Songti SC"/>
          <w:b w:val="0"/>
        </w:rPr>
        <w:t>本文从数据预处理、分发与读取三个方面更新2022版GriddingMachine，建立配置驱动的标准化、直接NetCDF分发和模式输入组织相衔接的数据流程，并完善Matlab、Octave、Python和R对新版数据的自动下载支持，新增C和Fortran下载入口。研究通过受控处理实例和真实海表温度数据检验标准化结果，通过高程与叶面积指数数据的分发比较和网络镜像获取评价访问效率与内容一致性，并以陆面参数和逐时气象数据接入Emerald模式的案例展示多源网格数据到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新版GriddingMachine按数据处理、文件获取和模式使用的顺序组织为三个环节（图1）。数据生产与标准化层依据源数据及处理配置，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软件内置</w:t>
            </w:r>
            <w:r>
              <w:rPr>
                <w:rFonts w:ascii="Consolas" w:hAnsi="Consolas" w:eastAsia="Songti SC"/>
                <w:sz w:val="18"/>
              </w:rPr>
              <w:t>Artifacts.toml</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构建产物哈希寻址、多个 URL 和解包</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多镜像回退、临时文件下载和完整性校验</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提高数据获取的可靠性和可追溯性</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读取已登记数据</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统一提供全域网格、周期切片和指定格点读取，并保留</w:t>
            </w:r>
            <w:r>
              <w:rPr>
                <w:rFonts w:ascii="Consolas" w:hAnsi="Consolas" w:eastAsia="Songti SC"/>
                <w:sz w:val="18"/>
              </w:rPr>
              <w:t>read_LUT</w:t>
            </w:r>
            <w:r>
              <w:rPr>
                <w:rFonts w:ascii="Times New Roman" w:hAnsi="Times New Roman" w:eastAsia="Songti SC"/>
                <w:b w:val="0"/>
                <w:sz w:val="18"/>
              </w:rPr>
              <w:t>作为兼容调用名称</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提供一致的数据读取方式，为模式输入组织提供基础，并降低旧接口迁移成本</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新登记的条目或纳入严格完整性管理的条目记录文件字节数和SHA-256；同一标签的受控镜像指向相同内容</w:t>
            </w:r>
          </w:p>
        </w:tc>
        <w:tc>
          <w:tcPr>
            <w:tcW w:type="dxa" w:w="294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缺失值填补由YAML中的</w:t>
      </w:r>
      <w:r>
        <w:rPr>
          <w:rFonts w:ascii="Consolas" w:hAnsi="Consolas" w:eastAsia="Songti SC"/>
        </w:rPr>
        <w:t>GAPFILL</w:t>
      </w:r>
      <w:r>
        <w:rPr>
          <w:rFonts w:ascii="Times New Roman" w:hAnsi="Times New Roman" w:eastAsia="Songti SC"/>
          <w:b w:val="0"/>
        </w:rPr>
        <w:t>字段驱动，并依据数据集物理含义选择相应策略。数值常数和</w:t>
      </w:r>
      <w:r>
        <w:rPr>
          <w:rFonts w:ascii="Consolas" w:hAnsi="Consolas" w:eastAsia="Songti SC"/>
        </w:rPr>
        <w:t>MEAN</w:t>
      </w:r>
      <w:r>
        <w:rPr>
          <w:rFonts w:ascii="Times New Roman" w:hAnsi="Times New Roman" w:eastAsia="Songti SC"/>
          <w:b w:val="0"/>
        </w:rPr>
        <w:t>分别以给定值或分层</w:t>
      </w:r>
      <w:r>
        <w:rPr>
          <w:rFonts w:ascii="Consolas" w:hAnsi="Consolas" w:eastAsia="Songti SC"/>
        </w:rPr>
        <w:t>nanmean</w:t>
      </w:r>
      <w:r>
        <w:rPr>
          <w:rFonts w:ascii="Times New Roman" w:hAnsi="Times New Roman" w:eastAsia="Songti SC"/>
          <w:b w:val="0"/>
        </w:rPr>
        <w:t>填补陆地区域缺失值；</w:t>
      </w:r>
      <w:r>
        <w:rPr>
          <w:rFonts w:ascii="Consolas" w:hAnsi="Consolas" w:eastAsia="Songti SC"/>
        </w:rPr>
        <w:t>KEEP_AS_IS</w:t>
      </w:r>
      <w:r>
        <w:rPr>
          <w:rFonts w:ascii="Times New Roman" w:hAnsi="Times New Roman" w:eastAsia="Songti SC"/>
          <w:b w:val="0"/>
        </w:rPr>
        <w:t>保持原始数组；</w:t>
      </w:r>
      <w:r>
        <w:rPr>
          <w:rFonts w:ascii="Consolas" w:hAnsi="Consolas" w:eastAsia="Songti SC"/>
        </w:rPr>
        <w:t>INT_NAN_TO_1</w:t>
      </w:r>
      <w:r>
        <w:rPr>
          <w:rFonts w:ascii="Times New Roman" w:hAnsi="Times New Roman" w:eastAsia="Songti SC"/>
          <w:b w:val="0"/>
        </w:rPr>
        <w:t>将缺失值补为1并对数组整数化；</w:t>
      </w:r>
      <w:r>
        <w:rPr>
          <w:rFonts w:ascii="Consolas" w:hAnsi="Consolas" w:eastAsia="Songti SC"/>
        </w:rPr>
        <w:t>NO_LAND_NAN</w:t>
      </w:r>
      <w:r>
        <w:rPr>
          <w:rFonts w:ascii="Times New Roman" w:hAnsi="Times New Roman" w:eastAsia="Songti SC"/>
          <w:b w:val="0"/>
        </w:rPr>
        <w:t>和</w:t>
      </w:r>
      <w:r>
        <w:rPr>
          <w:rFonts w:ascii="Consolas" w:hAnsi="Consolas" w:eastAsia="Songti SC"/>
        </w:rPr>
        <w:t>NO_NAN</w:t>
      </w:r>
      <w:r>
        <w:rPr>
          <w:rFonts w:ascii="Times New Roman" w:hAnsi="Times New Roman" w:eastAsia="Songti SC"/>
          <w:b w:val="0"/>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数据预处理采用YAML配置，将数据源差异与通用处理程序分开。配置描述输入文件、源变量、维度语义、坐标方向、数值转换、缺失值填补（gap filling）及质量检查要求，处理程序据此完成转换，再按照统一的空间和变量约定输出NetCDF文件。配置规范在执行前检查必需信息、字段类型及相互关系，使程序化与交互式生成的配置遵循相同约定。配置及实际执行的处理记录共同保留源数据到标准化数据的转换过程。</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r>
        <w:rPr>
          <w:rFonts w:ascii="Times New Roman" w:hAnsi="Times New Roman" w:eastAsia="Songti SC"/>
          <w:b w:val="0"/>
        </w:rPr>
        <w:t>框架同时提供程序化和本地交互式配置生成方式。二者输出均通过同一配置规范校验，再由标准化处理函数</w:t>
      </w:r>
      <w:r>
        <w:rPr>
          <w:rFonts w:ascii="Consolas" w:hAnsi="Consolas" w:eastAsia="Songti SC"/>
        </w:rPr>
        <w:t>process_dataset!</w:t>
      </w:r>
      <w:r>
        <w:rPr>
          <w:rFonts w:ascii="Times New Roman" w:hAnsi="Times New Roman" w:eastAsia="Songti SC"/>
          <w:b w:val="0"/>
        </w:rPr>
        <w:t>执行，使数据贡献者可以复用通用流程，集中描述各数据源的转换规则。</w:t>
      </w:r>
    </w:p>
    <w:p>
      <w:pPr>
        <w:pStyle w:val="Heading3"/>
      </w:pPr>
      <w:r>
        <w:rPr>
          <w:rFonts w:ascii="Times New Roman" w:hAnsi="Times New Roman" w:eastAsia="Songti SC"/>
          <w:b w:val="0"/>
        </w:rPr>
        <w:t>2.2.3 生产流程与质量控制</w:t>
      </w:r>
    </w:p>
    <w:p>
      <w:r>
        <w:rPr>
          <w:rFonts w:ascii="Times New Roman" w:hAnsi="Times New Roman" w:eastAsia="Songti SC"/>
          <w:b w:val="0"/>
        </w:rPr>
        <w:t>标准化数据生产引擎根据配置定位输入与输出文件，读取主变量及可选不确定性变量，将数值转换为</w:t>
      </w:r>
      <w:r>
        <w:rPr>
          <w:rFonts w:ascii="Consolas" w:hAnsi="Consolas" w:eastAsia="Songti SC"/>
        </w:rPr>
        <w:t>Float32</w:t>
      </w:r>
      <w:r>
        <w:rPr>
          <w:rFonts w:ascii="Times New Roman" w:hAnsi="Times New Roman" w:eastAsia="Songti SC"/>
          <w:b w:val="0"/>
        </w:rPr>
        <w:t>后，执行配置指定的维度重排、坐标翻转或经度循环平移、线性缩放、有效范围过滤和缺失值处理。生产流程在保存前检查输出维度、坐标、变量、数值范围和缺失值状态。对于标准支持分辨率，陆地区域完整性通过重采样</w:t>
      </w:r>
      <w:r>
        <w:rPr>
          <w:rFonts w:ascii="Consolas" w:hAnsi="Consolas" w:eastAsia="Songti SC"/>
        </w:rPr>
        <w:t>LM_4X_1Y_V1</w:t>
      </w:r>
      <w:r>
        <w:rPr>
          <w:rFonts w:ascii="Times New Roman" w:hAnsi="Times New Roman" w:eastAsia="Songti SC"/>
          <w:b w:val="0"/>
        </w:rPr>
        <w:t>陆地掩膜检查；其他分辨率采用对应的专用规则。带经纬度坐标轴的空间方向图用于人工确认，补充自动结构与坐标检查；</w:t>
      </w:r>
      <w:r>
        <w:rPr>
          <w:rFonts w:ascii="Consolas" w:hAnsi="Consolas" w:eastAsia="Songti SC"/>
        </w:rPr>
        <w:t>VERIFY_ONCE</w:t>
      </w:r>
      <w:r>
        <w:rPr>
          <w:rFonts w:ascii="Times New Roman" w:hAnsi="Times New Roman" w:eastAsia="Songti SC"/>
          <w:b w:val="0"/>
        </w:rPr>
        <w:t>记录同一配置组合的首次方向确认。</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，文件按表2所列标签规则命名。各项转换写入NetCDF变量属性中的变更记录，完整YAML、固定输入和版本化项目环境与输出共同归档，使数据文件能够对应其处理规则、来源和生成环境。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b w:val="0"/>
        </w:rPr>
        <w:t>。数据发布与目录登记相互解耦：维护者可将标准NetCDF发布到机构文件传输协议（File Transfer Protocol，FTP）服务器、超文本传输协议（HTTP/HTTPS）服务或Zenodo科研资源存储平台，目录生成器根据本地用于发布的标准NetCDF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b w:val="0"/>
        </w:rPr>
        <w:t>的数据目录与获取模块Collector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b w:val="0"/>
        </w:rPr>
        <w:t>、一个或多个</w:t>
      </w:r>
      <w:r>
        <w:rPr>
          <w:rFonts w:ascii="Consolas" w:hAnsi="Consolas" w:eastAsia="Songti SC"/>
        </w:rPr>
        <w:t>URL</w:t>
      </w:r>
      <w:r>
        <w:rPr>
          <w:rFonts w:ascii="Times New Roman" w:hAnsi="Times New Roman" w:eastAsia="Songti SC"/>
          <w:b w:val="0"/>
        </w:rPr>
        <w:t>以及可选的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。对已有目录条目，系统保留兼容访问方式；对登记完整性信息的新条目，则在完整性校验通过后将临时文件转为正式文件。目录规范和获取逻辑对多URL与完整性字段采用统一表达。</w:t>
      </w:r>
    </w:p>
    <w:p>
      <w:r>
        <w:rPr>
          <w:rFonts w:ascii="Times New Roman" w:hAnsi="Times New Roman" w:eastAsia="Songti SC"/>
          <w:b w:val="0"/>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正式文件更新机制；相关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b w:val="0"/>
        </w:rPr>
        <w:t>，也可读取原始数值或同形不确定性变量</w:t>
      </w:r>
      <w:r>
        <w:rPr>
          <w:rFonts w:ascii="Consolas" w:hAnsi="Consolas" w:eastAsia="Songti SC"/>
        </w:rPr>
        <w:t>std</w:t>
      </w:r>
      <w:r>
        <w:rPr>
          <w:rFonts w:ascii="Times New Roman" w:hAnsi="Times New Roman" w:eastAsia="Songti SC"/>
          <w:b w:val="0"/>
        </w:rPr>
        <w:t>。模式输入组织层直接继承数据生产与标准化层统一的单位、缺失值和物理范围，使处理规则集中于共享处理规范，并兼容既有读取方式。</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顺序及西向东、南向北排列为输入约定。接口面向全球规则网格的原位索引，区域投影、非规则网格和空间插值可在数据生产与标准化层完成转换；周期索引的月份、日期或小时含义由对应数据元数据解释。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格点尺度陆面参数组织接口从预定义数据集合中提取土壤、冠层、叶片、地形、陆地掩膜和植物功能型数据，依据陆面状态融合相应参数，并将叶面积指数、叶绿素、冠层聚集度和最大羧化速率等季节序列组织到同一年度的逐日时间轴。缺失值填补后，月尺度数据按各月实际天数展开，8日尺度数据按相应覆盖日期展开，并依据年份保留365或366日。不同时间分辨率的参数由此形成可按日期调用的序列。第二套陆面参数集合</w:t>
      </w:r>
      <w:r>
        <w:rPr>
          <w:rFonts w:ascii="Consolas" w:hAnsi="Consolas" w:eastAsia="Songti SC"/>
        </w:rPr>
        <w:t>gm2</w:t>
      </w:r>
      <w:r>
        <w:rPr>
          <w:rFonts w:ascii="Times New Roman" w:hAnsi="Times New Roman" w:eastAsia="Songti SC"/>
          <w:b w:val="0"/>
        </w:rPr>
        <w:t>由14类标准化数据组成，其中冠层聚集度采用月尺度数据集，其余字段按各自空间与时间分辨率进入统一格点。</w:t>
      </w:r>
    </w:p>
    <w:p>
      <w:r>
        <w:rPr>
          <w:rFonts w:ascii="Times New Roman" w:hAnsi="Times New Roman" w:eastAsia="Songti SC"/>
          <w:b w:val="0"/>
        </w:rPr>
        <w:t xml:space="preserve">叶片光学参数与Medlyn气孔导度模型参数按C3和C4植物分别组织[6,7]：C3参数按格点内对应植物功能型比例归一化加权，C4参数从相应类型的参数表提取，以保留两类植物的参数差异。光合参数组织参考叶片羧化能力与电子传递能力的协调关系[8]，并按当前模式参数化关系由 25 ℃下最大羧化速率 </w:t>
      </w:r>
      <w:r>
        <w:rPr>
          <w:rFonts w:ascii="Consolas" w:hAnsi="Consolas" w:eastAsia="Songti SC"/>
        </w:rPr>
        <w:t>VCMAX25</w:t>
      </w:r>
      <w:r>
        <w:rPr>
          <w:rFonts w:ascii="Times New Roman" w:hAnsi="Times New Roman" w:eastAsia="Songti SC"/>
          <w:b w:val="0"/>
        </w:rPr>
        <w:t xml:space="preserve"> 计算最大电子传递速率 </w:t>
      </w:r>
      <w:r>
        <w:rPr>
          <w:rFonts w:ascii="Consolas" w:hAnsi="Consolas" w:eastAsia="Songti SC"/>
        </w:rPr>
        <w:t>JMAX25</w:t>
      </w:r>
      <w:r>
        <w:rPr>
          <w:rFonts w:ascii="Times New Roman" w:hAnsi="Times New Roman" w:eastAsia="Songti SC"/>
          <w:b w:val="0"/>
        </w:rPr>
        <w:t xml:space="preserve"> 和细胞色素 b6f 复合体参数 </w:t>
      </w:r>
      <w:r>
        <w:rPr>
          <w:rFonts w:ascii="Consolas" w:hAnsi="Consolas" w:eastAsia="Songti SC"/>
        </w:rPr>
        <w:t>B6F</w:t>
      </w:r>
      <w:r>
        <w:rPr>
          <w:rFonts w:ascii="Times New Roman" w:hAnsi="Times New Roman" w:eastAsia="Songti SC"/>
          <w:b w:val="0"/>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b w:val="0"/>
        </w:rPr>
        <w:t xml:space="preserve"> 状态同步进入质量控制。多个标准化数据由此形成结构一致的格点级模式输入。</w:t>
      </w:r>
    </w:p>
    <w:p>
      <w:r>
        <w:rPr>
          <w:rFonts w:ascii="Times New Roman" w:hAnsi="Times New Roman" w:eastAsia="Songti SC"/>
          <w:b w:val="0"/>
        </w:rPr>
        <w:t>格点尺度气象驱动接口按年份和格点读取气象驱动集合</w:t>
      </w:r>
      <w:r>
        <w:rPr>
          <w:rFonts w:ascii="Consolas" w:hAnsi="Consolas" w:eastAsia="Songti SC"/>
        </w:rPr>
        <w:t>wd1</w:t>
      </w:r>
      <w:r>
        <w:rPr>
          <w:rFonts w:ascii="Times New Roman" w:hAnsi="Times New Roman" w:eastAsia="Songti SC"/>
          <w:b w:val="0"/>
        </w:rPr>
        <w:t>中的8类第五代全球再分析数据（ERA5）[9]，分别提取地表气压、降水、漫射与直射短波辐射、长波辐射、气温、水汽压亏缺和风速。接口可按输入经纬度读取对应格点，或从已加载的全域气象数组提取格点序列。时间轴按逐小时序列构建浮点年积日（fractional day of year，</w:t>
      </w:r>
      <w:r>
        <w:rPr>
          <w:rFonts w:ascii="Consolas" w:hAnsi="Consolas" w:eastAsia="Songti SC"/>
        </w:rPr>
        <w:t>FDOY</w:t>
      </w:r>
      <w:r>
        <w:rPr>
          <w:rFonts w:ascii="Times New Roman" w:hAnsi="Times New Roman" w:eastAsia="Songti SC"/>
          <w:b w:val="0"/>
        </w:rPr>
        <w:t>），并以经度除以15换算时间偏移：经纬度调用方式使用输入位置的经度，数组索引方式使用格点中心经度。输出字段完整性与</w:t>
      </w:r>
      <w:r>
        <w:rPr>
          <w:rFonts w:ascii="Consolas" w:hAnsi="Consolas" w:eastAsia="Songti SC"/>
        </w:rPr>
        <w:t>NaN</w:t>
      </w:r>
      <w:r>
        <w:rPr>
          <w:rFonts w:ascii="Times New Roman" w:hAnsi="Times New Roman" w:eastAsia="Songti SC"/>
          <w:b w:val="0"/>
        </w:rPr>
        <w:t>状态同步进入质量控制。</w:t>
      </w:r>
    </w:p>
    <w:p>
      <w:r>
        <w:rPr>
          <w:rFonts w:ascii="Times New Roman" w:hAnsi="Times New Roman" w:eastAsia="Songti SC"/>
          <w:b w:val="0"/>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[5]，新版将基础读取与模式输入组织衔接：读取接口提供网格或格点数值，参数与气象接口进一步组合变量并构建相应时间序列。研究人员可由此复用标准化数据，再按模式接口要求形成输入；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Temperature，OISST）用于检查统一流程能否正确处理源维度、坐标和数值差异；高程数据（ELEV）与叶面积指数数据（Leaf Area Index，LAI）的分发对照用于量化省去外层归档后的访问开销，网络镜像获取用于检查不同地址提供的文件内容是否一致；US-NR1站点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spacing w:before="0" w:after="0" w:line="240" w:lineRule="auto"/>
              <w:ind w:firstLine="0" w:left="0" w:right="0"/>
              <w:jc w:val="center"/>
            </w:pPr>
            <w:r>
              <w:rPr>
                <w:sz w:val="18"/>
              </w:rPr>
            </w:r>
            <w:r>
              <w:rPr>
                <w:rFonts w:ascii="Times New Roman" w:hAnsi="Times New Roman" w:eastAsia="Songti SC"/>
                <w:b w:val="0"/>
                <w:sz w:val="18"/>
              </w:rPr>
              <w:t>核心实现具有跨操作系统运行一致性</w:t>
            </w:r>
          </w:p>
        </w:tc>
        <w:tc>
          <w:tcPr>
            <w:tcW w:type="dxa" w:w="2381"/>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Windows、macOS、Linux持续集成</w:t>
            </w:r>
          </w:p>
        </w:tc>
        <w:tc>
          <w:tcPr>
            <w:tcW w:type="dxa" w:w="2438"/>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代表性处理实例包括</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源排列、纬度和经度翻转、</w:t>
      </w:r>
      <w:r>
        <w:rPr>
          <w:rFonts w:ascii="Consolas" w:hAnsi="Consolas" w:eastAsia="Songti SC"/>
        </w:rPr>
        <w:t>0～360°</w:t>
      </w:r>
      <w:r>
        <w:rPr>
          <w:rFonts w:ascii="Times New Roman" w:hAnsi="Times New Roman" w:eastAsia="Songti SC"/>
          <w:b w:val="0"/>
        </w:rPr>
        <w:t>经度平移、线性缩放、范围过滤、缺失值填补、</w:t>
      </w:r>
      <w:r>
        <w:rPr>
          <w:rFonts w:ascii="Consolas" w:hAnsi="Consolas" w:eastAsia="Songti SC"/>
        </w:rPr>
        <w:t>data/std</w:t>
      </w:r>
      <w:r>
        <w:rPr>
          <w:rFonts w:ascii="Times New Roman" w:hAnsi="Times New Roman" w:eastAsia="Songti SC"/>
          <w:b w:val="0"/>
        </w:rPr>
        <w:t>保存和标签生成。配置字段、变量数量、已有数据集和标签状态共同覆盖标准化数据从源数据到目录登记的主要环节。</w:t>
      </w:r>
    </w:p>
    <w:p>
      <w:r>
        <w:rPr>
          <w:rFonts w:ascii="Times New Roman" w:hAnsi="Times New Roman" w:eastAsia="Songti SC"/>
          <w:b w:val="0"/>
        </w:rPr>
        <w:t>共享处理规范围绕维度、坐标、数值、缺失值填补、配置、输出和空间方向组织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版本化源适配器提取唯一的垂向层和时间层，共享YAML配置进一步完成维度声明、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生成的标准NetCDF文件建立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数据目录管理评价使用不同版本的Artifacts.yaml、多个NetCDF数据集和两个镜像端点，覆盖目录首次建立与更新、单数据集获取、全库同步、历史整理和状态查询。各操作通过重复调用检查能否保持相同的有效结果，并记录临时文件、正式数据区和候选镜像的变化。确定性小型目录使这些变化能够与预设结果直接比较。</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跨操作系统运行一致性设计</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真实网络获取和US-NR1应用案例按实际运行环境分别记录；完整的系统与测试项目对应关系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配置贡献案例进一步贯通配置生成、标准化、目录登记和下游读取，输出与参考数组逐点一致。</w:t>
      </w:r>
    </w:p>
    <w:p>
      <w:r>
        <w:rPr>
          <w:rFonts w:ascii="Times New Roman" w:hAnsi="Times New Roman" w:eastAsia="Songti SC"/>
          <w:b w:val="0"/>
        </w:rPr>
        <w:t>ELEV补充案例使用已通过文件大小和SHA-256校验的</w:t>
      </w:r>
      <w:r>
        <w:rPr>
          <w:rFonts w:ascii="Consolas" w:hAnsi="Consolas" w:eastAsia="Songti SC"/>
        </w:rPr>
        <w:t>ELEV_4X_1Y_V1.nc</w:t>
      </w:r>
      <w:r>
        <w:rPr>
          <w:rFonts w:ascii="Times New Roman" w:hAnsi="Times New Roman" w:eastAsia="Songti SC"/>
          <w:b w:val="0"/>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b w:val="0"/>
        </w:rPr>
        <w:t>和原值保持配置连续处理3次，三次</w:t>
      </w:r>
      <w:r>
        <w:rPr>
          <w:rFonts w:ascii="Consolas" w:hAnsi="Consolas" w:eastAsia="Songti SC"/>
        </w:rPr>
        <w:t>data/lon/lat</w:t>
      </w:r>
      <w:r>
        <w:rPr>
          <w:rFonts w:ascii="Times New Roman" w:hAnsi="Times New Roman" w:eastAsia="Songti SC"/>
          <w:b w:val="0"/>
        </w:rPr>
        <w:t>均与输入一致，输出文件SHA-256也彼此相同，表明标准化数据经过统一读取和生产流水线后保持科学数组及坐标。</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OISST案例展示了共享处理规范对异构地学源数据的组织能力。原始</w:t>
      </w:r>
      <w:r>
        <w:rPr>
          <w:rFonts w:ascii="Consolas" w:hAnsi="Consolas" w:eastAsia="Songti SC"/>
        </w:rPr>
        <w:t>sst</w:t>
      </w:r>
      <w:r>
        <w:rPr>
          <w:rFonts w:ascii="Times New Roman" w:hAnsi="Times New Roman" w:eastAsia="Songti SC"/>
          <w:b w:val="0"/>
        </w:rPr>
        <w:t>变量在Julia读取路径中呈现为1440×720×1×1的</w:t>
      </w:r>
      <w:r>
        <w:rPr>
          <w:rFonts w:ascii="Consolas" w:hAnsi="Consolas" w:eastAsia="Songti SC"/>
        </w:rPr>
        <w:t>lon×lat×zlev×time</w:t>
      </w:r>
      <w:r>
        <w:rPr>
          <w:rFonts w:ascii="Times New Roman" w:hAnsi="Times New Roman" w:eastAsia="Songti SC"/>
          <w:b w:val="0"/>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b w:val="0"/>
        </w:rPr>
        <w:t>标准化数据连续生成3次，科学数组、坐标和文件SHA-256均保持一致，统一读取获得的全域网格数组也与独立参考逐点一致。生成文件为997 006字节，目录登记的字节数和SHA-256与文件相符；经回环HTTP下载后，正式文件摘要保持一致，临时文件完成回收。这些结果说明源数据转换形成的标准网格能够经目录登记、文件获取和统一读取传递到下游程序，保持坐标与物理值的一致性。</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ms，降幅为48.3%和82.9%；环境B中的相应降幅分别为53.6%和69.2%（图3）。两个数据文件的传输字节分别增加6.43%和2.16%，逻辑临时占用分别减少约48%和49%。80次SHA-256摘要核验结果一致。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两文件均已采用NetCDF内部zlib压缩级别4，对照归档采用gzip级别6。在所测文件和缓存预热条件下，直接NetCDF以较小的传输字节增量减少了解包及临时文件共存开销，缩短了从请求到首次读取数据的路径。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镜像获取、缓存复用和内容核验结果均符合预设。候选地址按延迟辅助排序，访问或内容核验未通过时继续尝试其余镜像；下载内容经临时文件核验后进入正式路径，已有正式文件在失败尝试中保持原有摘要。结果说明镜像回退可以与内容核验配合，在调整获取地址的同时保持本地文件一致。</w:t>
      </w:r>
    </w:p>
    <w:p>
      <w:r>
        <w:rPr>
          <w:rFonts w:ascii="Times New Roman" w:hAnsi="Times New Roman" w:eastAsia="Songti SC"/>
          <w:b w:val="0"/>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b w:val="0"/>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b w:val="0"/>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b w:val="0"/>
        </w:rPr>
        <w:t>保持稳定，目录将其物理URL指向</w:t>
      </w:r>
      <w:r>
        <w:rPr>
          <w:rFonts w:ascii="Consolas" w:hAnsi="Consolas" w:eastAsia="Songti SC"/>
        </w:rPr>
        <w:t>V1_R1.nc</w:t>
      </w:r>
      <w:r>
        <w:rPr>
          <w:rFonts w:ascii="Times New Roman" w:hAnsi="Times New Roman" w:eastAsia="Songti SC"/>
          <w:b w:val="0"/>
        </w:rPr>
        <w:t>并登记新的</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b w:val="0"/>
        </w:rPr>
        <w:t>真实气象案例读取2020年8类ERA5标准化数据，八文件合计12 575 376 138字节；各</w:t>
      </w:r>
      <w:r>
        <w:rPr>
          <w:rFonts w:ascii="Consolas" w:hAnsi="Consolas" w:eastAsia="Songti SC"/>
        </w:rPr>
        <w:t>data</w:t>
      </w:r>
      <w:r>
        <w:rPr>
          <w:rFonts w:ascii="Times New Roman" w:hAnsi="Times New Roman" w:eastAsia="Songti SC"/>
          <w:b w:val="0"/>
        </w:rPr>
        <w:t>变量均为</w:t>
      </w:r>
      <w:r>
        <w:rPr>
          <w:rFonts w:ascii="Consolas" w:hAnsi="Consolas" w:eastAsia="Songti SC"/>
        </w:rPr>
        <w:t>lon×lat×ind</w:t>
      </w:r>
      <w:r>
        <w:rPr>
          <w:rFonts w:ascii="Times New Roman" w:hAnsi="Times New Roman" w:eastAsia="Songti SC"/>
          <w:b w:val="0"/>
        </w:rPr>
        <w:t>、360×180×8784，并带有单位属性。US-NR1对应格点的8类气象变量均得到8784个逐小时值，有限值比例均为100%；模式输入组织层输出与底层NetCDF逐点读取的8个字段最大绝对差均为0。按输入站点经度计算的时间偏移为−7.0364 h，</w:t>
      </w:r>
      <w:r>
        <w:rPr>
          <w:rFonts w:ascii="Consolas" w:hAnsi="Consolas" w:eastAsia="Songti SC"/>
        </w:rPr>
        <w:t>FDOY</w:t>
      </w:r>
      <w:r>
        <w:rPr>
          <w:rFonts w:ascii="Times New Roman" w:hAnsi="Times New Roman" w:eastAsia="Songti SC"/>
          <w:b w:val="0"/>
        </w:rPr>
        <w:t>严格递增且与独立公式逐点一致。气象驱动组织形成</w:t>
      </w:r>
      <w:r>
        <w:rPr>
          <w:rFonts w:ascii="Consolas" w:hAnsi="Consolas" w:eastAsia="Songti SC"/>
        </w:rPr>
        <w:t>FDOY</w:t>
      </w:r>
      <w:r>
        <w:rPr>
          <w:rFonts w:ascii="Times New Roman" w:hAnsi="Times New Roman" w:eastAsia="Songti SC"/>
          <w:b w:val="0"/>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b w:val="0"/>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b w:val="0"/>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系统测试中，核心流程的数据结构、逐点数值、文件摘要和接口状态保持一致，GriddingMachine、GriddingMachineDatasets及Emerald合成输入接口通过相应检查。上述标准化、镜像获取和模式输入结果共同说明，数据约定能够在不同操作系统的相应运行路径中保持一致；各系统测试项目与结果见补充材料S5。</w:t>
      </w:r>
    </w:p>
    <w:p>
      <w:r>
        <w:rPr>
          <w:rFonts w:ascii="Times New Roman" w:hAnsi="Times New Roman" w:eastAsia="Songti SC"/>
          <w:b w:val="0"/>
        </w:rPr>
        <w:t>C和Fortran入口已完成编译与下载测试，下载文件通过字节数和SHA-256完整性校验。多语言入口由此能够在已有科研程序中获取与登记内容一致的数据文件。</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建立了统一网格、变量约定、标签访问和多语言接口[5]，使研究人员能够使用共同的数据基础。本轮更新进一步处理数据持续扩展中的维护问题：源数据转换规则由配置集中表达，数据地址和完整性信息由独立目录维护，标准化文件则继续通过标签供科研程序读取。目录审计时共登记1179个数据条目，均配置机构FTP地址，部分条目另有Zenodo镜像；这些条目沿用相同的数据规范与目录结构。新增数据源可复用已有处理流程，分发地址变化可通过目录更新承接，从而减少处理程序、下载程序与模式调用之间的联动修改。</w:t>
      </w:r>
    </w:p>
    <w:p>
      <w:r>
        <w:rPr>
          <w:rFonts w:ascii="Times New Roman" w:hAnsi="Times New Roman" w:eastAsia="Songti SC"/>
          <w:b w:val="0"/>
        </w:rPr>
        <w:t>统一约定还需要同时支持数据更新和既有试验的复现。ERA5降水修订中，下游逻辑标签保持不变，实际文件位置及完整性信息在目录中更新，使调用程序能够继续使用已有入口。对某次模式试验，保存当时的目录、文件摘要、处理配置和代码版本则能够明确实际使用的数据与转换过程。标签用于简化调用，归档记录用于还原试验，两者共同支持数据库的持续维护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直接NetCDF减少了单文件外层打包和解包的步骤。对于本文测试的两个内部压缩文件，直接分发虽增加少量传输字节，却减少临时占用，并缩短缓存预热后的端到端访问时间。分发方式的选择应结合传输量、首次读取时间和本地存储需求。</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标准网格数据进入模式之前，还需要建立变量之间的空间、时间和物理联系。US-NR1案例中，陆面参数提供土壤、冠层和叶片属性及其季节变化，ERA5逐时序列提供同一年度的气象条件；参数与气象接口在基础读取之后，分别完成字段组合、时间轴构建和模式所需的量纲转换。降水单位修订说明了这种衔接的必要性：文件中的数值必须结合单位解释，才能正确进入模式通量换算。因此，基于统一读取的输入组织使来自多个数据源的变量形成具有明确物理含义、能够由模式直接调用的参数和气象驱动，减少了各模式分别整理输入的工作。</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已有数据基础设施从数据表达、发现和计算等方面支持科学数据复用。NetCDF/CF规范多维数组及元数据表达[2,3]，地球系统数据立方体促进多变量时空数据的联合组织与分析[12]；Google Earth Engine提供云端遥感数据访问与计算[4]，ESGF组织分布式气候模式数据发现和访问[14]，Pangeo及Pangeo Forge支持云端数据组织与可复用处理配方[15,16]。这些工作为多源数据使用提供了共同基础。GriddingMachine进一步面向本地模式试验，以统一网格、数据标签和处理配置保存可反复调用的标准化结果，并通过独立目录和模式输入接口衔接文件获取与科研程序。其Julia实现[13]将数据预处理、读取和输入组织连接起来，使研究人员能够在已有计算环境中复用这些结果。</w:t>
      </w:r>
    </w:p>
    <w:p>
      <w:r>
        <w:rPr>
          <w:rFonts w:ascii="Times New Roman" w:hAnsi="Times New Roman" w:eastAsia="Songti SC"/>
          <w:b w:val="0"/>
        </w:rPr>
        <w:t>国内地球系统科学数据共享研究强调规范分类和目录建设[17]，Pooch和STAC分别提供科研文件获取与地理空间数据目录描述工具[18,19]。GriddingMachine可在保留现有标签与读取方式的基础上，加强与这些目录和获取工具的衔接，使本地科研程序更便于使用共享数据。持续维护还需要保留数据出处、处理配置与软件版本：软件引用原则、科研软件FAIR原则（FAIR4RS）和数字资源库TRUST原则为相应的记录、引用和资源维护提供参考[20-22]。后续扩展因而可以围绕新增数据源的配置接入、公共镜像登记和更多模式接口适配展开，使数据覆盖与科研复用同步推进。</w:t>
      </w:r>
    </w:p>
    <w:p>
      <w:pPr>
        <w:pStyle w:val="Heading1"/>
      </w:pPr>
      <w:r>
        <w:rPr>
          <w:rFonts w:ascii="Times New Roman" w:hAnsi="Times New Roman" w:eastAsia="Songti SC"/>
          <w:b w:val="0"/>
        </w:rPr>
        <w:t>6 结论</w:t>
      </w:r>
    </w:p>
    <w:p>
      <w:r>
        <w:rPr>
          <w:rFonts w:ascii="Times New Roman" w:hAnsi="Times New Roman" w:eastAsia="Songti SC"/>
          <w:b w:val="0"/>
        </w:rPr>
        <w:t>针对多源网格数据需要分别整理、分发更新与模式调用难以衔接的问题，本文在2022版GriddingMachine基础上完善了数据预处理、分发和读取流程。共享YAML配置组织源数据转换规则，直接NetCDF分发减少外层归档步骤，独立目录维护数据标签、镜像及完整性信息，在统一读取基础上进一步组织陆面参数和气象驱动；同时完善Matlab、Octave、Python和R对新版数据的自动下载支持，并新增C和Fortran下载入口。</w:t>
      </w:r>
    </w:p>
    <w:p>
      <w:r>
        <w:rPr>
          <w:rFonts w:ascii="Times New Roman" w:hAnsi="Times New Roman" w:eastAsia="Songti SC"/>
          <w:b w:val="0"/>
        </w:rPr>
        <w:t>受控实例和真实数据案例表明，新版流程能够保持标准化数据与独立参考的一致性，支持直接NetCDF文件分发和FTP—Zenodo镜像内容核验，并将陆面参数与ERA5逐时数据组织为US-NR1模式输入，完成Emerald初始化和60 s首步计算。这些结果验证了新版GriddingMachine在数据转换、文件获取和模式输入组织之间的衔接能力。</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