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结果表明，标准化数据与独立参考保持一致，直接NetCDF分发降低了访问开销，多源网格数据能够统一组织为模式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The results show that standardized data agree with independent references, direct NetCDF distribution reduces access overhead, and gridded data from multiple sources can be organized into model inputs through a unified workflow.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eusable）的 FAIR 原则[1]。NetCDF适合组织多维科学数据及其坐标信息[2]，CF元数据约定进一步规范变量、坐标和时空属性[3]。Google Earth Engine等云平台通过改善数据表达、发现、访问及计算，提升了大尺度地学数据的访问和分析能力[4]。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b w:val="0"/>
        </w:rPr>
        <w:t>Wang等[5]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b w:val="0"/>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b w:val="0"/>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b w:val="0"/>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b w:val="0"/>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b w:val="0"/>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b w:val="0"/>
        </w:rPr>
        <w:t>承担，数据目录与可信分发层及模式输入组织层主要由</w:t>
      </w:r>
      <w:r>
        <w:rPr>
          <w:rFonts w:ascii="Consolas" w:hAnsi="Consolas" w:eastAsia="Songti SC"/>
        </w:rPr>
        <w:t>GriddingMachine.jl</w:t>
      </w:r>
      <w:r>
        <w:rPr>
          <w:rFonts w:ascii="Times New Roman" w:hAnsi="Times New Roman" w:eastAsia="Songti SC"/>
          <w:b w:val="0"/>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b w:val="0"/>
        </w:rPr>
        <w:t xml:space="preserve"> （a）2022版以数据集专用脚本、</w:t>
      </w:r>
      <w:r>
        <w:rPr>
          <w:rFonts w:ascii="Consolas" w:hAnsi="Consolas" w:eastAsia="Songti SC"/>
        </w:rPr>
        <w:t>tar.gz</w:t>
      </w:r>
      <w:r>
        <w:rPr>
          <w:rFonts w:ascii="Times New Roman" w:hAnsi="Times New Roman" w:eastAsia="Songti SC"/>
          <w:b w:val="0"/>
        </w:rPr>
        <w:t>文件、包内数据目录和读取函数</w:t>
      </w:r>
      <w:r>
        <w:rPr>
          <w:rFonts w:ascii="Consolas" w:hAnsi="Consolas" w:eastAsia="Songti SC"/>
        </w:rPr>
        <w:t>read_LUT</w:t>
      </w:r>
      <w:r>
        <w:rPr>
          <w:rFonts w:ascii="Times New Roman" w:hAnsi="Times New Roman" w:eastAsia="Songti SC"/>
          <w:b w:val="0"/>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b w:val="0"/>
        </w:rPr>
        <w:t xml:space="preserve"> (a) The 2022 release connected dataset-specific scripts, </w:t>
      </w:r>
      <w:r>
        <w:rPr>
          <w:rFonts w:ascii="Consolas" w:hAnsi="Consolas" w:eastAsia="Songti SC"/>
        </w:rPr>
        <w:t>tar.gz</w:t>
      </w:r>
      <w:r>
        <w:rPr>
          <w:rFonts w:ascii="Times New Roman" w:hAnsi="Times New Roman" w:eastAsia="Songti SC"/>
          <w:b w:val="0"/>
        </w:rPr>
        <w:t xml:space="preserve"> archive files, an in-package catalog, and </w:t>
      </w:r>
      <w:r>
        <w:rPr>
          <w:rFonts w:ascii="Consolas" w:hAnsi="Consolas" w:eastAsia="Songti SC"/>
        </w:rPr>
        <w:t>read_LUT</w:t>
      </w:r>
      <w:r>
        <w:rPr>
          <w:rFonts w:ascii="Times New Roman" w:hAnsi="Times New Roman" w:eastAsia="Songti SC"/>
          <w:b w:val="0"/>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b w:val="0"/>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b w:val="0"/>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b w:val="0"/>
        </w:rPr>
        <w:t>表1概括2022版与新版的主要差异及其在数据流程中的作用。</w:t>
      </w:r>
    </w:p>
    <w:p>
      <w:pPr>
        <w:spacing w:before="80" w:after="80" w:line="240" w:lineRule="auto"/>
        <w:ind w:firstLine="0"/>
        <w:jc w:val="center"/>
      </w:pPr>
      <w:r>
        <w:rPr>
          <w:rFonts w:ascii="Times New Roman" w:hAnsi="Times New Roman" w:eastAsia="Songti SC"/>
          <w:b/>
        </w:rPr>
        <w:t>表1 2022版与新版GriddingMachine的功能和技术路线比较</w:t>
      </w:r>
    </w:p>
    <w:p>
      <w:pPr>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c>
          <w:tcPr>
            <w:tcW w:type="dxa" w:w="141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对科研流程的作用</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构建产物哈希寻址、多个 URL 和解包</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多镜像回退、临时文件下载和完整性校验</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提高数据获取的可靠性和可追溯性</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读取已登记数据</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统一提供全域网格、周期切片和指定格点读取，并保留</w:t>
            </w:r>
            <w:r>
              <w:rPr>
                <w:rFonts w:ascii="Consolas" w:hAnsi="Consolas" w:eastAsia="Songti SC"/>
                <w:sz w:val="18"/>
              </w:rPr>
              <w:t>read_LUT</w:t>
            </w:r>
            <w:r>
              <w:rPr>
                <w:rFonts w:ascii="Times New Roman" w:hAnsi="Times New Roman" w:eastAsia="Songti SC"/>
                <w:b w:val="0"/>
                <w:sz w:val="18"/>
              </w:rPr>
              <w:t>作为兼容调用名称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统一数据发现、读取和模式输入组织，降低旧接口迁移成本</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数据契约与维度映射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spacing w:before="80" w:after="80" w:line="240" w:lineRule="auto"/>
        <w:ind w:firstLine="0"/>
        <w:jc w:val="center"/>
      </w:pPr>
      <w:r>
        <w:rPr>
          <w:rFonts w:ascii="Times New Roman" w:hAnsi="Times New Roman" w:eastAsia="Songti SC"/>
          <w:b/>
        </w:rPr>
        <w:t>表2 GriddingMachine 标准 NetCDF 数据与元数据规范</w:t>
      </w:r>
    </w:p>
    <w:p>
      <w:pPr>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production contract.</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c>
          <w:tcPr>
            <w:tcW w:type="dxa" w:w="192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实现方式</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新登记的条目或纳入严格完整性管理的条目记录文件字节数和SHA-256；同一标签的受控镜像指向相同内容</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b w:val="0"/>
        </w:rPr>
        <w:t>、</w:t>
      </w:r>
      <w:r>
        <w:rPr>
          <w:rFonts w:ascii="Consolas" w:hAnsi="Consolas" w:eastAsia="Songti SC"/>
        </w:rPr>
        <w:t>FOLDER</w:t>
      </w:r>
      <w:r>
        <w:rPr>
          <w:rFonts w:ascii="Times New Roman" w:hAnsi="Times New Roman" w:eastAsia="Songti SC"/>
          <w:b w:val="0"/>
        </w:rPr>
        <w:t>、</w:t>
      </w:r>
      <w:r>
        <w:rPr>
          <w:rFonts w:ascii="Consolas" w:hAnsi="Consolas" w:eastAsia="Songti SC"/>
        </w:rPr>
        <w:t>DATA</w:t>
      </w:r>
      <w:r>
        <w:rPr>
          <w:rFonts w:ascii="Times New Roman" w:hAnsi="Times New Roman" w:eastAsia="Songti SC"/>
          <w:b w:val="0"/>
        </w:rPr>
        <w:t>（及可选</w:t>
      </w:r>
      <w:r>
        <w:rPr>
          <w:rFonts w:ascii="Consolas" w:hAnsi="Consolas" w:eastAsia="Songti SC"/>
        </w:rPr>
        <w:t>STD</w:t>
      </w:r>
      <w:r>
        <w:rPr>
          <w:rFonts w:ascii="Times New Roman" w:hAnsi="Times New Roman" w:eastAsia="Songti SC"/>
          <w:b w:val="0"/>
        </w:rPr>
        <w:t>）和</w:t>
      </w:r>
      <w:r>
        <w:rPr>
          <w:rFonts w:ascii="Consolas" w:hAnsi="Consolas" w:eastAsia="Songti SC"/>
        </w:rPr>
        <w:t>GRIDDINGMACHINE</w:t>
      </w:r>
      <w:r>
        <w:rPr>
          <w:rFonts w:ascii="Times New Roman" w:hAnsi="Times New Roman" w:eastAsia="Songti SC"/>
          <w:b w:val="0"/>
        </w:rPr>
        <w:t>组织文件组合、输入输出位置、变量语义与转换规则以及稳定标签，并通过</w:t>
      </w:r>
      <w:r>
        <w:rPr>
          <w:rFonts w:ascii="Consolas" w:hAnsi="Consolas" w:eastAsia="Songti SC"/>
        </w:rPr>
        <w:t>SCHEMA_VERSION</w:t>
      </w:r>
      <w:r>
        <w:rPr>
          <w:rFonts w:ascii="Times New Roman" w:hAnsi="Times New Roman" w:eastAsia="Songti SC"/>
          <w:b w:val="0"/>
        </w:rPr>
        <w:t>约束字段类型、必需项、默认值、互斥关系和数组长度一致性。</w:t>
      </w:r>
      <w:r>
        <w:rPr>
          <w:rFonts w:ascii="Consolas" w:hAnsi="Consolas" w:eastAsia="Songti SC"/>
        </w:rPr>
        <w:t>DIMENSIONS</w:t>
      </w:r>
      <w:r>
        <w:rPr>
          <w:rFonts w:ascii="Times New Roman" w:hAnsi="Times New Roman" w:eastAsia="Songti SC"/>
          <w:b w:val="0"/>
        </w:rPr>
        <w:t>显式记录源变量的维度语义，</w:t>
      </w:r>
      <w:r>
        <w:rPr>
          <w:rFonts w:ascii="Consolas" w:hAnsi="Consolas" w:eastAsia="Songti SC"/>
        </w:rPr>
        <w:t>GAPFILL</w:t>
      </w:r>
      <w:r>
        <w:rPr>
          <w:rFonts w:ascii="Times New Roman" w:hAnsi="Times New Roman" w:eastAsia="Songti SC"/>
          <w:b w:val="0"/>
        </w:rPr>
        <w:t>、坐标方向、数值范围和缩放规则在数据读取前完成解析；配置构建器与生产流水线调用同一规范。</w:t>
      </w:r>
    </w:p>
    <w:p>
      <w:r>
        <w:rPr>
          <w:rFonts w:ascii="Times New Roman" w:hAnsi="Times New Roman" w:eastAsia="Songti SC"/>
          <w:b w:val="0"/>
        </w:rPr>
        <w:t>受控二维示例采用</w:t>
      </w:r>
      <w:r>
        <w:rPr>
          <w:rFonts w:ascii="Consolas" w:hAnsi="Consolas" w:eastAsia="Songti SC"/>
        </w:rPr>
        <w:t>(lat, lon)</w:t>
      </w:r>
      <w:r>
        <w:rPr>
          <w:rFonts w:ascii="Times New Roman" w:hAnsi="Times New Roman" w:eastAsia="Songti SC"/>
          <w:b w:val="0"/>
        </w:rPr>
        <w:t>源维度排列，纬度按北向南排列，经度范围为</w:t>
      </w:r>
      <w:r>
        <w:rPr>
          <w:rFonts w:ascii="Consolas" w:hAnsi="Consolas" w:eastAsia="Songti SC"/>
        </w:rPr>
        <w:t>0°～360°</w:t>
      </w:r>
      <w:r>
        <w:rPr>
          <w:rFonts w:ascii="Times New Roman" w:hAnsi="Times New Roman" w:eastAsia="Songti SC"/>
          <w:b w:val="0"/>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b w:val="0"/>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b w:val="0"/>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b w:val="0"/>
        </w:rPr>
        <w:t>执行标准化处理，使数据贡献入口与生产流水线共享一致的字段语义。</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标准化数据生产引擎首先根据</w:t>
      </w:r>
      <w:r>
        <w:rPr>
          <w:rFonts w:ascii="Consolas" w:hAnsi="Consolas" w:eastAsia="Songti SC"/>
        </w:rPr>
        <w:t>FILE</w:t>
      </w:r>
      <w:r>
        <w:rPr>
          <w:rFonts w:ascii="Times New Roman" w:hAnsi="Times New Roman" w:eastAsia="Songti SC"/>
          <w:b w:val="0"/>
        </w:rPr>
        <w:t>和</w:t>
      </w:r>
      <w:r>
        <w:rPr>
          <w:rFonts w:ascii="Consolas" w:hAnsi="Consolas" w:eastAsia="Songti SC"/>
        </w:rPr>
        <w:t>FOLDER</w:t>
      </w:r>
      <w:r>
        <w:rPr>
          <w:rFonts w:ascii="Times New Roman" w:hAnsi="Times New Roman" w:eastAsia="Songti SC"/>
          <w:b w:val="0"/>
        </w:rPr>
        <w:t>定位输入与输出文件，再读取</w:t>
      </w:r>
      <w:r>
        <w:rPr>
          <w:rFonts w:ascii="Consolas" w:hAnsi="Consolas" w:eastAsia="Songti SC"/>
        </w:rPr>
        <w:t>DATA</w:t>
      </w:r>
      <w:r>
        <w:rPr>
          <w:rFonts w:ascii="Times New Roman" w:hAnsi="Times New Roman" w:eastAsia="Songti SC"/>
          <w:b w:val="0"/>
        </w:rPr>
        <w:t>和可选</w:t>
      </w:r>
      <w:r>
        <w:rPr>
          <w:rFonts w:ascii="Consolas" w:hAnsi="Consolas" w:eastAsia="Songti SC"/>
        </w:rPr>
        <w:t>STD</w:t>
      </w:r>
      <w:r>
        <w:rPr>
          <w:rFonts w:ascii="Times New Roman" w:hAnsi="Times New Roman" w:eastAsia="Songti SC"/>
          <w:b w:val="0"/>
        </w:rPr>
        <w:t>指定的源变量。流水线将数据转换为</w:t>
      </w:r>
      <w:r>
        <w:rPr>
          <w:rFonts w:ascii="Consolas" w:hAnsi="Consolas" w:eastAsia="Songti SC"/>
        </w:rPr>
        <w:t>Float32</w:t>
      </w:r>
      <w:r>
        <w:rPr>
          <w:rFonts w:ascii="Times New Roman" w:hAnsi="Times New Roman" w:eastAsia="Songti SC"/>
          <w:b w:val="0"/>
        </w:rPr>
        <w:t>，依次执行纬度翻转、经度翻转或从</w:t>
      </w:r>
      <w:r>
        <w:rPr>
          <w:rFonts w:ascii="Consolas" w:hAnsi="Consolas" w:eastAsia="Songti SC"/>
        </w:rPr>
        <w:t>0°～360°</w:t>
      </w:r>
      <w:r>
        <w:rPr>
          <w:rFonts w:ascii="Times New Roman" w:hAnsi="Times New Roman" w:eastAsia="Songti SC"/>
          <w:b w:val="0"/>
        </w:rPr>
        <w:t>到</w:t>
      </w:r>
      <w:r>
        <w:rPr>
          <w:rFonts w:ascii="Consolas" w:hAnsi="Consolas" w:eastAsia="Songti SC"/>
        </w:rPr>
        <w:t>−180°～180°</w:t>
      </w:r>
      <w:r>
        <w:rPr>
          <w:rFonts w:ascii="Times New Roman" w:hAnsi="Times New Roman" w:eastAsia="Songti SC"/>
          <w:b w:val="0"/>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b w:val="0"/>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，并按</w:t>
      </w:r>
      <w:r>
        <w:rPr>
          <w:rFonts w:ascii="Consolas" w:hAnsi="Consolas" w:eastAsia="Songti SC"/>
        </w:rPr>
        <w:t>TAG_(PREFIX_)NX_MT_(YYYY_)VV(_REVISION)</w:t>
      </w:r>
      <w:r>
        <w:rPr>
          <w:rFonts w:ascii="Times New Roman" w:hAnsi="Times New Roman" w:eastAsia="Songti SC"/>
          <w:b w:val="0"/>
        </w:rPr>
        <w:t>生成唯一文件名。文件级变更记录与发布级配置、输入和软件环境共同构成双层复现链，连接数据集内容与其生成上下文。</w:t>
      </w:r>
    </w:p>
    <w:p>
      <w:r>
        <w:rPr>
          <w:rFonts w:ascii="Times New Roman" w:hAnsi="Times New Roman" w:eastAsia="Songti SC"/>
          <w:b w:val="0"/>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b w:val="0"/>
        </w:rPr>
        <w:t>用于记录同一配置组合的首次方向确认。输出数据质量检查进一步核对</w:t>
      </w:r>
      <w:r>
        <w:rPr>
          <w:rFonts w:ascii="Consolas" w:hAnsi="Consolas" w:eastAsia="Songti SC"/>
        </w:rPr>
        <w:t>lon</w:t>
      </w:r>
      <w:r>
        <w:rPr>
          <w:rFonts w:ascii="Times New Roman" w:hAnsi="Times New Roman" w:eastAsia="Songti SC"/>
          <w:b w:val="0"/>
        </w:rPr>
        <w:t>、</w:t>
      </w:r>
      <w:r>
        <w:rPr>
          <w:rFonts w:ascii="Consolas" w:hAnsi="Consolas" w:eastAsia="Songti SC"/>
        </w:rPr>
        <w:t>lat</w:t>
      </w:r>
      <w:r>
        <w:rPr>
          <w:rFonts w:ascii="Times New Roman" w:hAnsi="Times New Roman" w:eastAsia="Songti SC"/>
          <w:b w:val="0"/>
        </w:rPr>
        <w:t>及可选</w:t>
      </w:r>
      <w:r>
        <w:rPr>
          <w:rFonts w:ascii="Consolas" w:hAnsi="Consolas" w:eastAsia="Songti SC"/>
        </w:rPr>
        <w:t>ind</w:t>
      </w:r>
      <w:r>
        <w:rPr>
          <w:rFonts w:ascii="Times New Roman" w:hAnsi="Times New Roman" w:eastAsia="Songti SC"/>
          <w:b w:val="0"/>
        </w:rPr>
        <w:t>维度、主变量</w:t>
      </w:r>
      <w:r>
        <w:rPr>
          <w:rFonts w:ascii="Consolas" w:hAnsi="Consolas" w:eastAsia="Songti SC"/>
        </w:rPr>
        <w:t>data</w:t>
      </w:r>
      <w:r>
        <w:rPr>
          <w:rFonts w:ascii="Times New Roman" w:hAnsi="Times New Roman" w:eastAsia="Songti SC"/>
          <w:b w:val="0"/>
        </w:rPr>
        <w:t>、数值范围和缺失值状态。对于标准支持分辨率，陆地区域完整性通过重采样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。模式输入组织层直接继承数据生产与标准化层统一的单位、缺失值和物理范围，使处理规则集中于共享生产契约，并兼容既有读取方式。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b w:val="0"/>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spacing w:before="80" w:after="80" w:line="240" w:lineRule="auto"/>
        <w:ind w:firstLine="0"/>
        <w:jc w:val="center"/>
      </w:pPr>
      <w:r>
        <w:rPr>
          <w:rFonts w:ascii="Times New Roman" w:hAnsi="Times New Roman" w:eastAsia="Songti SC"/>
          <w:b/>
        </w:rPr>
        <w:t>表3 GriddingMachine框架核心贡献、证据层级与主要评价指标</w:t>
      </w:r>
    </w:p>
    <w:p>
      <w:pPr>
        <w:spacing w:before="80" w:after="80" w:line="240" w:lineRule="auto"/>
        <w:ind w:firstLine="0"/>
        <w:jc w:val="center"/>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b w:val="0"/>
        </w:rPr>
        <w:t xml:space="preserve"> Controlled experiments and real-data or real-network applications are listed separately, and the final column summarizes the principal metrics used for each contribution.</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c>
          <w:tcPr>
            <w:tcW w:type="dxa" w:w="226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核心贡献</w:t>
            </w:r>
          </w:p>
        </w:tc>
        <w:tc>
          <w:tcPr>
            <w:tcW w:type="dxa" w:w="2381"/>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受控或确定性证据</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真实数据/网络应用</w:t>
            </w:r>
          </w:p>
        </w:tc>
        <w:tc>
          <w:tcPr>
            <w:tcW w:type="dxa" w:w="175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主要评价指标</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核心实现具有跨操作系统运行一致性</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Windows、macOS、Linux持续集成</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共享生产契约与质量控制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代表性处理实例包括</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源排列、纬度和经度翻转、</w:t>
      </w:r>
      <w:r>
        <w:rPr>
          <w:rFonts w:ascii="Consolas" w:hAnsi="Consolas" w:eastAsia="Songti SC"/>
        </w:rPr>
        <w:t>0～360°</w:t>
      </w:r>
      <w:r>
        <w:rPr>
          <w:rFonts w:ascii="Times New Roman" w:hAnsi="Times New Roman" w:eastAsia="Songti SC"/>
          <w:b w:val="0"/>
        </w:rPr>
        <w:t>经度平移、线性缩放、范围过滤、缺失值填补、</w:t>
      </w:r>
      <w:r>
        <w:rPr>
          <w:rFonts w:ascii="Consolas" w:hAnsi="Consolas" w:eastAsia="Songti SC"/>
        </w:rPr>
        <w:t>data/std</w:t>
      </w:r>
      <w:r>
        <w:rPr>
          <w:rFonts w:ascii="Times New Roman" w:hAnsi="Times New Roman" w:eastAsia="Songti SC"/>
          <w:b w:val="0"/>
        </w:rPr>
        <w:t>保存和标签生成。配置字段、变量数量、已有数据集和标签状态共同覆盖标准化数据从源数据到目录登记的主要环节。</w:t>
      </w:r>
    </w:p>
    <w:p>
      <w:r>
        <w:rPr>
          <w:rFonts w:ascii="Times New Roman" w:hAnsi="Times New Roman" w:eastAsia="Songti SC"/>
          <w:b w:val="0"/>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版本化源适配器提取唯一的垂向层和时间层，共享YAML契约进一步完成维度声明、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b w:val="0"/>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跨操作系统运行一致性设计</w:t>
      </w:r>
    </w:p>
    <w:p>
      <w:r>
        <w:rPr>
          <w:rFonts w:ascii="Times New Roman" w:hAnsi="Times New Roman" w:eastAsia="Songti SC"/>
          <w:b w:val="0"/>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b w:val="0"/>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共享生产契约与质量控制结果</w:t>
      </w:r>
    </w:p>
    <w:p>
      <w:r>
        <w:rPr>
          <w:rFonts w:ascii="Times New Roman" w:hAnsi="Times New Roman" w:eastAsia="Songti SC"/>
          <w:b w:val="0"/>
        </w:rPr>
        <w:t>三系统持续集成中的29组非交互实例获得一致的数据集结构和逐点数值；V01和V02的空间方向结果与预设一致。配置贡献案例进一步贯通YAML配置、标准化生成、目录登记和下游读取，生成数据集与参考数组逐点一致。</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OISST案例展示了共享生产契约对异构地学源数据的组织能力。原始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b w:val="0"/>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b w:val="0"/>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b w:val="0"/>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b w:val="0"/>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b w:val="0"/>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b w:val="0"/>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b w:val="0"/>
        </w:rPr>
        <w:t>13类受控状态场景在两个独立操作系统环境中各重复5次。目录与数据获取模块按照延迟辅助排序候选，并在访问或内容核验状态变化时遍历其余地址；每次获取均以独立临时文件完成传输，内容核验通过后进入正式路径，既有正式文件摘要保持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跨操作系统运行一致性结果</w:t>
      </w:r>
    </w:p>
    <w:p>
      <w:r>
        <w:rPr>
          <w:rFonts w:ascii="Times New Roman" w:hAnsi="Times New Roman" w:eastAsia="Songti SC"/>
          <w:b w:val="0"/>
        </w:rPr>
        <w:t>跨系统测试显示，核心数据结构、逐点结果、文件摘要和接口状态在Windows、macOS和Linux的既定运行路径中保持一致；GriddingMachine、GriddingMachineDatasets及Emerald合成输入接口均通过相应测试。详细测试矩阵见补充材料S5。</w:t>
      </w:r>
    </w:p>
    <w:p>
      <w:r>
        <w:rPr>
          <w:rFonts w:ascii="Times New Roman" w:hAnsi="Times New Roman" w:eastAsia="Songti SC"/>
          <w:b w:val="0"/>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已建立统一网格、变量约定、标签访问和多语言接口[5]。本轮更新进一步把数据源专用处理规则整理为共享配置，将数据目录与软件包分开维护，并将标准网格读取延伸到陆面参数和气象驱动组织。目录审计时共登记1179个数据条目，均配置机构FTP地址，部分条目另有Zenodo镜像；统一的数据规范与目录结构支持这些条目采用相同的获取和读取流程。这样的组织方式可减少不同数据集和模式之间重复编写转换、下载与接口程序的工作，并使数据修订能够沿配置、目录和文件记录持续更新。</w:t>
      </w:r>
    </w:p>
    <w:p>
      <w:r>
        <w:rPr>
          <w:rFonts w:ascii="Times New Roman" w:hAnsi="Times New Roman" w:eastAsia="Songti SC"/>
          <w:b w:val="0"/>
        </w:rPr>
        <w:t>本文案例从数据结构与应用方式两个方面覆盖主要流程：OISST检验单例维度、存储缩放和经度范围差异的标准化处理，ELEV和LAI比较直接NetCDF与外层归档的分发效率，14类陆面数据与8类ERA5数据则贯通标准网格读取和模式输入组织。共享配置、数据标签与接口约定使这些处理方法能够用于其他符合相同规范的数据。ERA5降水修订进一步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b w:val="0"/>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b w:val="0"/>
        </w:rPr>
        <w:t>6 结论</w:t>
      </w:r>
    </w:p>
    <w:p>
      <w:r>
        <w:rPr>
          <w:rFonts w:ascii="Times New Roman" w:hAnsi="Times New Roman" w:eastAsia="Songti SC"/>
          <w:b w:val="0"/>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b w:val="0"/>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