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完成框架更新，形成贯通数据生产、质量控制、多镜像分发、统一读取和模型调用的数据生命周期。新版以共享模式（schema）和YAML配置驱动源维度映射、坐标转换、数值变换与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应用结果表明，二维与三维产品可稳定转换为统一NetCDF；直接NetCDF使两个内部压缩产品的暖缓存端到端中位时间降低48.3%～82.9%和53.6%～69.2%；校园网内4个代表性产品经FTP和Zenodo完成24次内容一致的真实下载；14类真实陆面产品成功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advances GriddingMachine into an integrated lifecycle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trustworthy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Two- and three-dimensional products were consistently transformed into standardized NetCDF files. Direct NetCDF reduced median warm-cache end-to-end time by 48.3%–82.9% and 53.6%–69.2% for two internally compressed products. Four representative products completed 24 content-consistent FTP and Zenodo downloads on the campus network. Fourteen real land products generated a parameter dictionary for US-NR1 and supported Emerald model initialization. The updated GriddingMachine therefore provides a lightweight infrastructure for configurable production, trustworthy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构建共享YAML生产契约、独立数据目录、直接NetCDF分发、多镜像事务获取和模型就绪接口，并以标准产品生产、真实镜像访问和真实陆面数据应用展示新版框架的完整工作流。该更新将数据维护逻辑由分散脚本提升为可配置基础设施，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进一步组织Emerald所需参数和气象驱动。14类真实</w:t>
      </w:r>
      <w:r>
        <w:rPr>
          <w:rFonts w:ascii="Consolas" w:hAnsi="Consolas" w:eastAsia="等线"/>
        </w:rPr>
        <w:t>gm2</w:t>
      </w:r>
      <w:r>
        <w:rPr>
          <w:rFonts w:ascii="Times New Roman" w:hAnsi="Times New Roman" w:eastAsia="宋体"/>
        </w:rPr>
        <w:t>产品已经贯通陆面参数链路并进入Emerald初始化，2020年ERA5序列将继续拓展真实</w:t>
      </w:r>
      <w:r>
        <w:rPr>
          <w:rFonts w:ascii="Consolas" w:hAnsi="Consolas" w:eastAsia="等线"/>
        </w:rPr>
        <w:t>wd1</w:t>
      </w:r>
      <w:r>
        <w:rPr>
          <w:rFonts w:ascii="Times New Roman" w:hAnsi="Times New Roman" w:eastAsia="宋体"/>
        </w:rPr>
        <w:t>气象驱动应用。</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生成唯一文件名。重复调用可识别已有目标；内容感知机制将进一步结合配置哈希、软件版本和文件摘要管理产品重建。</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V01/V02脚本分别提供方向正确与南北反转的非对称位置编码图，正向图与反向图均得到准确识别。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P01贡献流程依据版本化指南贯通代表性数据集的配置生成、标准化、质量检查、发布、目录登记和下游读取。最终NetCDF与目录项保持一致，并形成包含固定输入路径和完整YAML示例的贡献模板。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镜像状态分析覆盖候选顺序、字节数、SHA-256、缓存恢复和镜像遍历等分发环节。多环境运行与校园网FTP—Zenodo实测共同呈现“事务安全—真实获取—内容一致”的分发链路。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标签完成模型就绪字段组织。确定性气象参考数据用于组织字段、形状和Emerald最小步进，真实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标准产品生产流程在多环境中保持一致行为。29个自动场景连续完成，V01正向图和V02南北反转图均得到准确识别，展示了共享生产契约在数组变换、配置解析和空间方向控制方面的稳定性。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P01代表性贡献案例依次完成配置生成、标准化、自动与人工质量检查、产品发布、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在本地HTTP服务中采用随机顺序重复测量，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真实镜像的可达性和内容一致性。</w:t>
      </w:r>
    </w:p>
    <w:p>
      <w:pPr>
        <w:pStyle w:val="Heading3"/>
      </w:pPr>
      <w:r>
        <w:rPr>
          <w:rFonts w:ascii="Times New Roman" w:hAnsi="Times New Roman" w:eastAsia="宋体"/>
        </w:rPr>
        <w:t>3.3.3 真实镜像访问</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与Emerald初始化。确定性参考数据用于组织字段名、形状、类型、时间索引和NaN处理；真实陆面案例采用2020年</w:t>
      </w:r>
      <w:r>
        <w:rPr>
          <w:rFonts w:ascii="Consolas" w:hAnsi="Consolas" w:eastAsia="等线"/>
        </w:rPr>
        <w:t>gm2</w:t>
      </w:r>
      <w:r>
        <w:rPr>
          <w:rFonts w:ascii="Times New Roman" w:hAnsi="Times New Roman" w:eastAsia="宋体"/>
        </w:rPr>
        <w:t>产品，在US-NR1附近植被格点和典型非植被格点展示不同陆面状态下的模型入口。2020年</w:t>
      </w:r>
      <w:r>
        <w:rPr>
          <w:rFonts w:ascii="Consolas" w:hAnsi="Consolas" w:eastAsia="等线"/>
        </w:rPr>
        <w:t>wd1</w:t>
      </w:r>
      <w:r>
        <w:rPr>
          <w:rFonts w:ascii="Times New Roman" w:hAnsi="Times New Roman" w:eastAsia="宋体"/>
        </w:rPr>
        <w:t>的8类ERA5数据将进一步拓展真实气象驱动应用。</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多环境运行与持续集成</w:t>
      </w:r>
    </w:p>
    <w:p>
      <w:r>
        <w:rPr>
          <w:rFonts w:ascii="Times New Roman" w:hAnsi="Times New Roman" w:eastAsia="宋体"/>
        </w:rPr>
        <w:t>本文所称多环境运行覆盖Windows、macOS和Linux，采用本地运行与持续集成相结合的方式，贯通标准产品生产、真实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持续集成使用确定性NetCDF参考数据维护代码路径、文件状态和内容完整性，本地环境进一步覆盖真实ELEV/LAI效率、真实镜像访问和真实</w:t>
      </w:r>
      <w:r>
        <w:rPr>
          <w:rFonts w:ascii="Consolas" w:hAnsi="Consolas" w:eastAsia="等线"/>
        </w:rPr>
        <w:t>gm2</w:t>
      </w:r>
      <w:r>
        <w:rPr>
          <w:rFonts w:ascii="Times New Roman" w:hAnsi="Times New Roman" w:eastAsia="宋体"/>
        </w:rPr>
        <w:t>陆面案例，共同形成从自动维护到真实数据应用的分层运行体系。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本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功能模块</w:t>
            </w:r>
          </w:p>
        </w:tc>
        <w:tc>
          <w:tcPr>
            <w:tcW w:type="dxa" w:w="2295"/>
            <w:shd w:fill="D9EAF7"/>
          </w:tcPr>
          <w:p>
            <w:r>
              <w:rPr>
                <w:b/>
                <w:sz w:val="18"/>
              </w:rPr>
            </w:r>
            <w:r>
              <w:rPr>
                <w:rFonts w:ascii="Times New Roman" w:hAnsi="Times New Roman" w:eastAsia="宋体"/>
                <w:b/>
                <w:sz w:val="18"/>
              </w:rPr>
              <w:t>主要改进</w:t>
            </w:r>
          </w:p>
        </w:tc>
        <w:tc>
          <w:tcPr>
            <w:tcW w:type="dxa" w:w="2295"/>
            <w:shd w:fill="D9EAF7"/>
          </w:tcPr>
          <w:p>
            <w:r>
              <w:rPr>
                <w:b/>
                <w:sz w:val="18"/>
              </w:rPr>
            </w:r>
            <w:r>
              <w:rPr>
                <w:rFonts w:ascii="Times New Roman" w:hAnsi="Times New Roman" w:eastAsia="宋体"/>
                <w:b/>
                <w:sz w:val="18"/>
              </w:rPr>
              <w:t>应用表现</w:t>
            </w:r>
          </w:p>
        </w:tc>
        <w:tc>
          <w:tcPr>
            <w:tcW w:type="dxa" w:w="2295"/>
            <w:shd w:fill="D9EAF7"/>
          </w:tcPr>
          <w:p>
            <w:r>
              <w:rPr>
                <w:b/>
                <w:sz w:val="18"/>
              </w:rPr>
            </w:r>
            <w:r>
              <w:rPr>
                <w:rFonts w:ascii="Times New Roman" w:hAnsi="Times New Roman" w:eastAsia="宋体"/>
                <w:b/>
                <w:sz w:val="18"/>
              </w:rPr>
              <w:t>扩展方向</w:t>
            </w:r>
          </w:p>
        </w:tc>
      </w:tr>
      <w:tr>
        <w:tc>
          <w:tcPr>
            <w:tcW w:type="dxa" w:w="2295"/>
          </w:tcPr>
          <w:p>
            <w:r>
              <w:rPr>
                <w:sz w:val="18"/>
              </w:rPr>
            </w:r>
            <w:r>
              <w:rPr>
                <w:rFonts w:ascii="Times New Roman" w:hAnsi="Times New Roman" w:eastAsia="宋体"/>
                <w:sz w:val="18"/>
              </w:rPr>
              <w:t>标准产品生产</w:t>
            </w:r>
          </w:p>
        </w:tc>
        <w:tc>
          <w:tcPr>
            <w:tcW w:type="dxa" w:w="2295"/>
          </w:tcPr>
          <w:p>
            <w:r>
              <w:rPr>
                <w:sz w:val="18"/>
              </w:rPr>
            </w:r>
            <w:r>
              <w:rPr>
                <w:rFonts w:ascii="Times New Roman" w:hAnsi="Times New Roman" w:eastAsia="宋体"/>
                <w:sz w:val="18"/>
              </w:rPr>
              <w:t>共享YAML schema、显式维度映射和Gapfill</w:t>
            </w:r>
          </w:p>
        </w:tc>
        <w:tc>
          <w:tcPr>
            <w:tcW w:type="dxa" w:w="2295"/>
          </w:tcPr>
          <w:p>
            <w:r>
              <w:rPr>
                <w:sz w:val="18"/>
              </w:rPr>
            </w:r>
            <w:r>
              <w:rPr>
                <w:rFonts w:ascii="Times New Roman" w:hAnsi="Times New Roman" w:eastAsia="宋体"/>
                <w:sz w:val="18"/>
              </w:rPr>
              <w:t>二维/三维产品稳定生成；ELEV数组与坐标完整保持</w:t>
            </w:r>
          </w:p>
        </w:tc>
        <w:tc>
          <w:tcPr>
            <w:tcW w:type="dxa" w:w="2295"/>
          </w:tcPr>
          <w:p>
            <w:r>
              <w:rPr>
                <w:sz w:val="18"/>
              </w:rPr>
            </w:r>
            <w:r>
              <w:rPr>
                <w:rFonts w:ascii="Times New Roman" w:hAnsi="Times New Roman" w:eastAsia="宋体"/>
                <w:sz w:val="18"/>
              </w:rPr>
              <w:t>扩展真实异构原始产品</w:t>
            </w:r>
          </w:p>
        </w:tc>
      </w:tr>
      <w:tr>
        <w:tc>
          <w:tcPr>
            <w:tcW w:type="dxa" w:w="2295"/>
          </w:tcPr>
          <w:p>
            <w:r>
              <w:rPr>
                <w:sz w:val="18"/>
              </w:rPr>
            </w:r>
            <w:r>
              <w:rPr>
                <w:rFonts w:ascii="Times New Roman" w:hAnsi="Times New Roman" w:eastAsia="宋体"/>
                <w:sz w:val="18"/>
              </w:rPr>
              <w:t>数据制品</w:t>
            </w:r>
          </w:p>
        </w:tc>
        <w:tc>
          <w:tcPr>
            <w:tcW w:type="dxa" w:w="2295"/>
          </w:tcPr>
          <w:p>
            <w:r>
              <w:rPr>
                <w:sz w:val="18"/>
              </w:rPr>
            </w:r>
            <w:r>
              <w:rPr>
                <w:rFonts w:ascii="Times New Roman" w:hAnsi="Times New Roman" w:eastAsia="宋体"/>
                <w:sz w:val="18"/>
              </w:rPr>
              <w:t>直接NetCDF替代外层</w:t>
            </w:r>
            <w:r>
              <w:rPr>
                <w:rFonts w:ascii="Consolas" w:hAnsi="Consolas" w:eastAsia="等线"/>
                <w:sz w:val="18"/>
              </w:rPr>
              <w:t>tar.gz</w:t>
            </w:r>
          </w:p>
        </w:tc>
        <w:tc>
          <w:tcPr>
            <w:tcW w:type="dxa" w:w="2295"/>
          </w:tcPr>
          <w:p>
            <w:r>
              <w:rPr>
                <w:sz w:val="18"/>
              </w:rPr>
            </w:r>
            <w:r>
              <w:rPr>
                <w:rFonts w:ascii="Times New Roman" w:hAnsi="Times New Roman" w:eastAsia="宋体"/>
                <w:sz w:val="18"/>
              </w:rPr>
              <w:t>暖缓存端到端中位时间降低48.3%～82.9%和53.6%～69.2%</w:t>
            </w:r>
          </w:p>
        </w:tc>
        <w:tc>
          <w:tcPr>
            <w:tcW w:type="dxa" w:w="2295"/>
          </w:tcPr>
          <w:p>
            <w:r>
              <w:rPr>
                <w:sz w:val="18"/>
              </w:rPr>
            </w:r>
            <w:r>
              <w:rPr>
                <w:rFonts w:ascii="Times New Roman" w:hAnsi="Times New Roman" w:eastAsia="宋体"/>
                <w:sz w:val="18"/>
              </w:rPr>
              <w:t>扩展更多产品规模</w:t>
            </w:r>
          </w:p>
        </w:tc>
      </w:tr>
      <w:tr>
        <w:tc>
          <w:tcPr>
            <w:tcW w:type="dxa" w:w="2295"/>
          </w:tcPr>
          <w:p>
            <w:r>
              <w:rPr>
                <w:sz w:val="18"/>
              </w:rPr>
            </w:r>
            <w:r>
              <w:rPr>
                <w:rFonts w:ascii="Times New Roman" w:hAnsi="Times New Roman" w:eastAsia="宋体"/>
                <w:sz w:val="18"/>
              </w:rPr>
              <w:t>目录与镜像</w:t>
            </w:r>
          </w:p>
        </w:tc>
        <w:tc>
          <w:tcPr>
            <w:tcW w:type="dxa" w:w="2295"/>
          </w:tcPr>
          <w:p>
            <w:r>
              <w:rPr>
                <w:sz w:val="18"/>
              </w:rPr>
            </w:r>
            <w:r>
              <w:rPr>
                <w:rFonts w:ascii="Times New Roman" w:hAnsi="Times New Roman" w:eastAsia="宋体"/>
                <w:sz w:val="18"/>
              </w:rPr>
              <w:t>独立目录、延迟辅助排序、多URL回退和事务缓存</w:t>
            </w:r>
          </w:p>
        </w:tc>
        <w:tc>
          <w:tcPr>
            <w:tcW w:type="dxa" w:w="2295"/>
          </w:tcPr>
          <w:p>
            <w:r>
              <w:rPr>
                <w:sz w:val="18"/>
              </w:rPr>
            </w:r>
            <w:r>
              <w:rPr>
                <w:rFonts w:ascii="Times New Roman" w:hAnsi="Times New Roman" w:eastAsia="宋体"/>
                <w:sz w:val="18"/>
              </w:rPr>
              <w:t>校园网FTP与Zenodo共24次下载内容一致</w:t>
            </w:r>
          </w:p>
        </w:tc>
        <w:tc>
          <w:tcPr>
            <w:tcW w:type="dxa" w:w="2295"/>
          </w:tcPr>
          <w:p>
            <w:r>
              <w:rPr>
                <w:sz w:val="18"/>
              </w:rPr>
            </w:r>
            <w:r>
              <w:rPr>
                <w:rFonts w:ascii="Times New Roman" w:hAnsi="Times New Roman" w:eastAsia="宋体"/>
                <w:sz w:val="18"/>
              </w:rPr>
              <w:t>建立长期镜像运行统计</w:t>
            </w:r>
          </w:p>
        </w:tc>
      </w:tr>
      <w:tr>
        <w:tc>
          <w:tcPr>
            <w:tcW w:type="dxa" w:w="2295"/>
          </w:tcPr>
          <w:p>
            <w:r>
              <w:rPr>
                <w:sz w:val="18"/>
              </w:rPr>
            </w:r>
            <w:r>
              <w:rPr>
                <w:rFonts w:ascii="Times New Roman" w:hAnsi="Times New Roman" w:eastAsia="宋体"/>
                <w:sz w:val="18"/>
              </w:rPr>
              <w:t>模型就绪访问</w:t>
            </w:r>
          </w:p>
        </w:tc>
        <w:tc>
          <w:tcPr>
            <w:tcW w:type="dxa" w:w="2295"/>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2295"/>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多环境运行</w:t>
            </w:r>
          </w:p>
        </w:tc>
        <w:tc>
          <w:tcPr>
            <w:tcW w:type="dxa" w:w="2295"/>
          </w:tcPr>
          <w:p>
            <w:r>
              <w:rPr>
                <w:sz w:val="18"/>
              </w:rPr>
            </w:r>
            <w:r>
              <w:rPr>
                <w:rFonts w:ascii="Times New Roman" w:hAnsi="Times New Roman" w:eastAsia="宋体"/>
                <w:sz w:val="18"/>
              </w:rPr>
              <w:t>版本化依赖与持续集成</w:t>
            </w:r>
          </w:p>
        </w:tc>
        <w:tc>
          <w:tcPr>
            <w:tcW w:type="dxa" w:w="2295"/>
          </w:tcPr>
          <w:p>
            <w:r>
              <w:rPr>
                <w:sz w:val="18"/>
              </w:rPr>
            </w:r>
            <w:r>
              <w:rPr>
                <w:rFonts w:ascii="Times New Roman" w:hAnsi="Times New Roman" w:eastAsia="宋体"/>
                <w:sz w:val="18"/>
              </w:rPr>
              <w:t>多环境保持一致的软件路径与数据接口</w:t>
            </w:r>
          </w:p>
        </w:tc>
        <w:tc>
          <w:tcPr>
            <w:tcW w:type="dxa" w:w="2295"/>
          </w:tcPr>
          <w:p>
            <w:r>
              <w:rPr>
                <w:sz w:val="18"/>
              </w:rPr>
            </w:r>
            <w:r>
              <w:rPr>
                <w:rFonts w:ascii="Times New Roman" w:hAnsi="Times New Roman" w:eastAsia="宋体"/>
                <w:sz w:val="18"/>
              </w:rPr>
              <w:t>扩展真实案例自动化运行</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schema成功组织二维和三维数据的源维度重排、坐标变换、线性缩放、有效范围过滤与Gapfill，并将处理结果保存为统一的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结构。配置构建器、生产流水线和目录生成器使用同一字段约定，使标准产品能够从源数据处理直接进入</w:t>
      </w:r>
      <w:r>
        <w:rPr>
          <w:rFonts w:ascii="Consolas" w:hAnsi="Consolas" w:eastAsia="等线"/>
        </w:rPr>
        <w:t>Artifacts.yaml</w:t>
      </w:r>
      <w:r>
        <w:rPr>
          <w:rFonts w:ascii="Times New Roman" w:hAnsi="Times New Roman" w:eastAsia="宋体"/>
        </w:rPr>
        <w:t>登记；目录条目同步生成准确的</w:t>
      </w:r>
      <w:r>
        <w:rPr>
          <w:rFonts w:ascii="Consolas" w:hAnsi="Consolas" w:eastAsia="等线"/>
        </w:rPr>
        <w:t>SIZE</w:t>
      </w:r>
      <w:r>
        <w:rPr>
          <w:rFonts w:ascii="Times New Roman" w:hAnsi="Times New Roman" w:eastAsia="宋体"/>
        </w:rPr>
        <w:t>与SHA-256，为后续多镜像发布提供完整性信息。</w:t>
      </w:r>
    </w:p>
    <w:p>
      <w:r>
        <w:rPr>
          <w:rFonts w:ascii="Times New Roman" w:hAnsi="Times New Roman" w:eastAsia="宋体"/>
        </w:rPr>
        <w:t>表3所列31个生产场景完整覆盖维度、坐标、数值、Gapfill、配置、输出和空间方向控制。多环境获得一致的产品结构和逐点数值结果，V01正向图与V02南北反转图得到准确区分，说明自动质量控制与人工空间检查能够共同维护标准产品的坐标语义。</w:t>
      </w:r>
    </w:p>
    <w:p>
      <w:r>
        <w:rPr>
          <w:rFonts w:ascii="Times New Roman" w:hAnsi="Times New Roman" w:eastAsia="宋体"/>
        </w:rPr>
        <w:t>P01代表性贡献案例顺利完成从YAML配置到标准产品生成、目录登记和下游读取的完整流程。生成产品与参照数组逐点一致，目录中的</w:t>
      </w:r>
      <w:r>
        <w:rPr>
          <w:rFonts w:ascii="Consolas" w:hAnsi="Consolas" w:eastAsia="等线"/>
        </w:rPr>
        <w:t>SIZE</w:t>
      </w:r>
      <w:r>
        <w:rPr>
          <w:rFonts w:ascii="Times New Roman" w:hAnsi="Times New Roman" w:eastAsia="宋体"/>
        </w:rPr>
        <w:t>和SHA-256准确；完整YAML示例和固定输入路径进一步形成可直接复用的数据贡献模板。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ELEV标准文件顺利贯通完整性目录、统一读取和处理流水线。实测数组全域具有有效值，重复生产中的坐标、数据和输出摘要保持一致，展示了新版流程对既有标准数据产品的稳定承接能力。</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评价分发效率，并在独立运行环境中采用一致协议。两文件的</w:t>
      </w:r>
      <w:r>
        <w:rPr>
          <w:rFonts w:ascii="Consolas" w:hAnsi="Consolas" w:eastAsia="等线"/>
        </w:rPr>
        <w:t>data</w:t>
      </w:r>
      <w:r>
        <w:rPr>
          <w:rFonts w:ascii="Times New Roman" w:hAnsi="Times New Roman" w:eastAsia="宋体"/>
        </w:rPr>
        <w:t>变量均采用NetCDF内部zlib level 4压缩，对照归档采用gzip level 6。本机回环HTTP条件下，各“数据×形式”组合经过预热并按随机顺序重复测量，全部解包后内容均通过SHA-256校验。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M01～M13镜像状态场景表明，Collector能够优先选择延迟较低的候选，同时完整保留全部URL并依次回退。每次获取采用独立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文件，内容经字节数和SHA-256确认后进入正式路径；130次状态记录中的临时文件均被完整回收，既有正式文件摘要保持一致。</w:t>
      </w:r>
    </w:p>
    <w:p>
      <w:r>
        <w:rPr>
          <w:rFonts w:ascii="Times New Roman" w:hAnsi="Times New Roman" w:eastAsia="宋体"/>
        </w:rPr>
        <w:t>同一下载接口在多环境中均实现延迟辅助排序、全候选保留和顺序回退，为不同网络条件提供一致的数据获取方式。</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镜像状态场景呈现事务式文件转换，真实镜像访问展示FTP与Zenodo的可达性、候选顺序和下载表现。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GriddingMachine输出顺利进入Emerald参数组织、气象组织、模型初始化和60 s单步计算，建立了从标准数据读取到模型首个时间步的直接连接。</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文件顺利贯通完整性目录、统一读取和陆面参数组织接口，并覆盖植被与非植被入口。依赖统一和接口迁移使多环境能够从同一项目声明解析一致的软件组合。2020年ERA5的8类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多环境运行表现</w:t>
      </w:r>
    </w:p>
    <w:p>
      <w:r>
        <w:rPr>
          <w:rFonts w:ascii="Times New Roman" w:hAnsi="Times New Roman" w:eastAsia="宋体"/>
        </w:rPr>
        <w:t>多环境均可运行标准产品生产、直接NetCDF分发、多镜像获取和Emerald模型接口，并获得一致的数据结构、内容摘要和模型字段，表明共享数据契约、事务式下载和模型就绪接口具有稳定的环境适应性。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多环境持续集成中保持自动运行。统一的项目依赖、参考数据和模型接口形成可持续维护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真实陆面产品、校园网FTP—Zenodo获取和多环境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新版框架在三个层次推进GriddingMachine：生产端以共享YAML契约连接维度、坐标、Gapfill和标准NetCDF；分发端以独立目录、直接NetCDF与事务缓存连接机构镜像和公共镜像；应用端以统一读取、Emerald最小步进和真实</w:t>
      </w:r>
      <w:r>
        <w:rPr>
          <w:rFonts w:ascii="Consolas" w:hAnsi="Consolas" w:eastAsia="等线"/>
        </w:rPr>
        <w:t>gm2</w:t>
      </w:r>
      <w:r>
        <w:rPr>
          <w:rFonts w:ascii="Times New Roman" w:hAnsi="Times New Roman" w:eastAsia="宋体"/>
        </w:rPr>
        <w:t>陆面链路连接数据产品与模型。OISST等真实异构原始产品将进一步拓展源数据标准化和科学应用范围。</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Gapfill、独立目录、直接NetCDF、事务式缓存及统一读取接口组成的可执行数据生命周期。新版能够稳定生成标准产品，在多镜像环境中维护内容完整性；校园网内4个代表性产品通过FTP与Zenodo实现内容一致的双镜像获取，14类真实陆面产品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