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作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artifact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配置规范表达源维度、坐标、数值变换和缺失值填补（Gapfill）以及质量控制；数据目录与获取层以逻辑标签连接数据副本，并对登记了文件字节数和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artifacts,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 xml:space="preserve"> artifact</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；配置规范校验、事务更新和版本备份</w:t>
            </w:r>
          </w:p>
        </w:tc>
        <w:tc>
          <w:tcPr>
            <w:tcW w:type="dxa" w:w="2211"/>
          </w:tcPr>
          <w:p>
            <w:r>
              <w:rPr>
                <w:sz w:val="18"/>
              </w:rPr>
            </w:r>
            <w:r>
              <w:rPr>
                <w:rFonts w:ascii="Times New Roman" w:hAnsi="Times New Roman" w:eastAsia="Songti SC"/>
                <w:sz w:val="18"/>
              </w:rPr>
              <w:t>数据集可独立于软件版本持续扩展</w:t>
            </w:r>
          </w:p>
        </w:tc>
      </w:tr>
      <w:tr>
        <w:tc>
          <w:tcPr>
            <w:tcW w:type="dxa" w:w="2211"/>
          </w:tcPr>
          <w:p>
            <w:r>
              <w:rPr>
                <w:sz w:val="18"/>
              </w:rPr>
            </w:r>
            <w:r>
              <w:rPr>
                <w:rFonts w:ascii="Times New Roman" w:hAnsi="Times New Roman" w:eastAsia="Songti SC"/>
                <w:sz w:val="18"/>
              </w:rPr>
              <w:t>下载</w:t>
            </w:r>
          </w:p>
        </w:tc>
        <w:tc>
          <w:tcPr>
            <w:tcW w:type="dxa" w:w="2211"/>
          </w:tcPr>
          <w:p>
            <w:r>
              <w:rPr>
                <w:sz w:val="18"/>
              </w:rPr>
            </w:r>
            <w:r>
              <w:rPr>
                <w:rFonts w:ascii="Times New Roman" w:hAnsi="Times New Roman" w:eastAsia="Songti SC"/>
                <w:sz w:val="18"/>
              </w:rPr>
              <w:t>artifact哈希寻址、多个URL和解包</w:t>
            </w:r>
          </w:p>
        </w:tc>
        <w:tc>
          <w:tcPr>
            <w:tcW w:type="dxa" w:w="2211"/>
          </w:tcPr>
          <w:p>
            <w:r>
              <w:rPr>
                <w:sz w:val="18"/>
              </w:rPr>
            </w:r>
            <w:r>
              <w:rPr>
                <w:rFonts w:ascii="Times New Roman" w:hAnsi="Times New Roman" w:eastAsia="Songti SC"/>
                <w:sz w:val="18"/>
              </w:rPr>
              <w:t>延迟信号辅助排序；多URL回退、独立临时文件；带</w:t>
            </w:r>
            <w:r>
              <w:rPr>
                <w:rFonts w:ascii="Consolas" w:hAnsi="Consolas" w:eastAsia="Songti SC"/>
                <w:sz w:val="18"/>
              </w:rPr>
              <w:t>SIZE</w:t>
            </w:r>
            <w:r>
              <w:rPr>
                <w:rFonts w:ascii="Times New Roman" w:hAnsi="Times New Roman" w:eastAsia="Songti SC"/>
                <w:sz w:val="18"/>
              </w:rPr>
              <w:t>/</w:t>
            </w:r>
            <w:r>
              <w:rPr>
                <w:rFonts w:ascii="Consolas" w:hAnsi="Consolas" w:eastAsia="Songti SC"/>
                <w:sz w:val="18"/>
              </w:rPr>
              <w:t>SHA256</w:t>
            </w:r>
            <w:r>
              <w:rPr>
                <w:rFonts w:ascii="Times New Roman" w:hAnsi="Times New Roman" w:eastAsia="Songti SC"/>
                <w:sz w:val="18"/>
              </w:rPr>
              <w:t>条目可执行严格核验后落盘</w:t>
            </w:r>
          </w:p>
        </w:tc>
        <w:tc>
          <w:tcPr>
            <w:tcW w:type="dxa" w:w="2211"/>
          </w:tcPr>
          <w:p>
            <w:r>
              <w:rPr>
                <w:sz w:val="18"/>
              </w:rPr>
            </w:r>
            <w:r>
              <w:rPr>
                <w:rFonts w:ascii="Times New Roman" w:hAnsi="Times New Roman" w:eastAsia="Songti SC"/>
                <w:sz w:val="18"/>
              </w:rPr>
              <w:t>将镜像选择与内容完整性判定分离，支持历史目录平滑迁移</w:t>
            </w:r>
          </w:p>
        </w:tc>
      </w:tr>
      <w:tr>
        <w:tc>
          <w:tcPr>
            <w:tcW w:type="dxa" w:w="2211"/>
          </w:tcPr>
          <w:p>
            <w:r>
              <w:rPr>
                <w:sz w:val="18"/>
              </w:rPr>
            </w:r>
            <w:r>
              <w:rPr>
                <w:rFonts w:ascii="Times New Roman" w:hAnsi="Times New Roman" w:eastAsia="Songti SC"/>
                <w:sz w:val="18"/>
              </w:rPr>
              <w:t>读取</w:t>
            </w:r>
          </w:p>
        </w:tc>
        <w:tc>
          <w:tcPr>
            <w:tcW w:type="dxa" w:w="2211"/>
          </w:tcPr>
          <w:p>
            <w:r>
              <w:rPr>
                <w:sz w:val="18"/>
              </w:rPr>
            </w:r>
            <w:r>
              <w:rPr>
                <w:rFonts w:ascii="Consolas" w:hAnsi="Consolas" w:eastAsia="Songti SC"/>
                <w:sz w:val="18"/>
              </w:rPr>
              <w:t>read_LUT</w:t>
            </w:r>
          </w:p>
        </w:tc>
        <w:tc>
          <w:tcPr>
            <w:tcW w:type="dxa" w:w="2211"/>
          </w:tcPr>
          <w:p>
            <w:r>
              <w:rPr>
                <w:sz w:val="18"/>
              </w:rPr>
            </w:r>
            <w:r>
              <w:rPr>
                <w:rFonts w:ascii="Consolas" w:hAnsi="Consolas" w:eastAsia="Songti SC"/>
                <w:sz w:val="18"/>
              </w:rPr>
              <w:t>read_dataset</w:t>
            </w:r>
            <w:r>
              <w:rPr>
                <w:rFonts w:ascii="Times New Roman" w:hAnsi="Times New Roman" w:eastAsia="Songti SC"/>
                <w:sz w:val="18"/>
              </w:rPr>
              <w:t>，旧名称保留为别名</w:t>
            </w:r>
          </w:p>
        </w:tc>
        <w:tc>
          <w:tcPr>
            <w:tcW w:type="dxa" w:w="2211"/>
          </w:tcPr>
          <w:p>
            <w:r>
              <w:rPr>
                <w:sz w:val="18"/>
              </w:rPr>
            </w:r>
            <w:r>
              <w:rPr>
                <w:rFonts w:ascii="Times New Roman" w:hAnsi="Times New Roman" w:eastAsia="Songti SC"/>
                <w:sz w:val="18"/>
              </w:rPr>
              <w:t>全球规则经纬网整场、周期和站点读取</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Gapfill与范围</w:t>
            </w:r>
          </w:p>
        </w:tc>
        <w:tc>
          <w:tcPr>
            <w:tcW w:type="dxa" w:w="2948"/>
          </w:tcPr>
          <w:p>
            <w:r>
              <w:rPr>
                <w:sz w:val="18"/>
              </w:rPr>
            </w:r>
            <w:r>
              <w:rPr>
                <w:rFonts w:ascii="Times New Roman" w:hAnsi="Times New Roman" w:eastAsia="Songti SC"/>
                <w:sz w:val="18"/>
              </w:rPr>
              <w:t>有效范围、填充值和Gapfill策略由YAML显式声明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YAML声明维度、坐标、数值与Gapfill规则；NetCDF属性写入逐项变更记录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Gapfill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生产流程在保存前检查维度、坐标、变量、数值范围和Gapfill结果，空间方向图进一步呈现坐标语义。质量控制完成后生成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植物功能型比例进一步用于融合C3/C4植被的叶片光学参数和Medlyn气孔参数，并由</w:t>
      </w:r>
      <w:r>
        <w:rPr>
          <w:rFonts w:ascii="Consolas" w:hAnsi="Consolas" w:eastAsia="Songti SC"/>
        </w:rPr>
        <w:t>VCMAX25</w:t>
      </w:r>
      <w:r>
        <w:rPr>
          <w:rFonts w:ascii="Times New Roman" w:hAnsi="Times New Roman" w:eastAsia="Songti SC"/>
        </w:rPr>
        <w:t>推导</w:t>
      </w:r>
      <w:r>
        <w:rPr>
          <w:rFonts w:ascii="Consolas" w:hAnsi="Consolas" w:eastAsia="Songti SC"/>
        </w:rPr>
        <w:t>JMAX25</w:t>
      </w:r>
      <w:r>
        <w:rPr>
          <w:rFonts w:ascii="Times New Roman" w:hAnsi="Times New Roman" w:eastAsia="Songti SC"/>
        </w:rPr>
        <w:t>和</w:t>
      </w:r>
      <w:r>
        <w:rPr>
          <w:rFonts w:ascii="Consolas" w:hAnsi="Consolas" w:eastAsia="Songti SC"/>
        </w:rPr>
        <w:t>B6F</w:t>
      </w:r>
      <w:r>
        <w:rPr>
          <w:rFonts w:ascii="Times New Roman" w:hAnsi="Times New Roman" w:eastAsia="Songti SC"/>
        </w:rPr>
        <w:t>。输出涵盖位置、分辨率、年份、CO₂、土壤水力性质、冠层结构、植物功能型组成、叶片生物物理和光合参数；字段完整性与</w:t>
      </w:r>
      <w:r>
        <w:rPr>
          <w:rFonts w:ascii="Consolas" w:hAnsi="Consolas" w:eastAsia="Songti SC"/>
        </w:rPr>
        <w:t>NaN</w:t>
      </w:r>
      <w:r>
        <w:rPr>
          <w:rFonts w:ascii="Times New Roman" w:hAnsi="Times New Roman" w:eastAsia="Songti SC"/>
        </w:rPr>
        <w:t>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Zenodo公共网络记录；校园网FTP—Zenodo同文件获取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经度平移、线性缩放、范围过滤、Gapfill、</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Gapfill、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Gapfill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独立参考流程直接读取未缩放的Int16存储值，根据原始</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和</w:t>
      </w:r>
      <w:r>
        <w:rPr>
          <w:rFonts w:ascii="Consolas" w:hAnsi="Consolas" w:eastAsia="Songti SC"/>
        </w:rPr>
        <w:t>_FillValue</w:t>
      </w:r>
      <w:r>
        <w:rPr>
          <w:rFonts w:ascii="Times New Roman" w:hAnsi="Times New Roman" w:eastAsia="Songti SC"/>
        </w:rPr>
        <w:t>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Gapfill、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校园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校园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校园网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