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做出优化：增加数据处理标准化流程，改进数据文件分发方式，完善数据目录与模式输入组织，并增加真实异构数据的标准化处理案例，完善数据集的组织与应用。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a real heterogeneous-data standardization case while improving dataset organization and application.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原则[1]。NetCDF适合组织多维科学数据及其坐标信息[5]，CF元数据约定进一步规范变量、坐标和时空属性[2]。Google Earth Engine等云平台通过改善数据表达、发现、访问及计算，提升了大尺度地学数据的访问和分析能力[3]。然而，对于面向固定版本、离线缓存和模式直接调用的工作流，研究人员仍需要把数据转换规则、标准数据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基础上，更新数据预处理、数据分发和数据读取流程，形成数据生产与标准化、数据目录管理与获取、模式输入组织三个相互衔接的环节。数据生产与标准化层以共享 YAML 配置规范表达源维度、坐标、数值变换和缺失值填补（gap filling）及质量控制；数据目录管理与获取层以逻辑标签连接数据副本，并对登记了文件字节数和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总体架构与数据流程</w:t>
      </w:r>
    </w:p>
    <w:p>
      <w:r>
        <w:rPr>
          <w:rFonts w:ascii="Times New Roman" w:hAnsi="Times New Roman" w:eastAsia="Songti SC"/>
        </w:rPr>
        <w:t>GriddingMachine新版由三个相互衔接的数据流程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承担。三层共同形成从生产、质控、发布、发现、下载、读取到模式调用的完整数据流程，其中各层通过标准NetCDF和稳定标签衔接，同时保留独立演化的维护边界。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GriddingMachine从2022版基线到新版数据流程的架构更新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workflow.</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data workflow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流程”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表1概括2022版与新版的主要差异及其在数据流程中的作用。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构建产物哈希寻址、多个 URL 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统一提供全域网格、周期切片和指定格点读取，并保留</w:t>
            </w:r>
            <w:r>
              <w:rPr>
                <w:rFonts w:ascii="Consolas" w:hAnsi="Consolas" w:eastAsia="Songti SC"/>
                <w:sz w:val="18"/>
              </w:rPr>
              <w:t>read_LUT</w:t>
            </w:r>
            <w:r>
              <w:rPr>
                <w:rFonts w:ascii="Times New Roman" w:hAnsi="Times New Roman" w:eastAsia="Songti SC"/>
                <w:sz w:val="18"/>
              </w:rPr>
              <w:t>作为兼容调用名称</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changes, and their implications for scientific data use across the data workflow.</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缺失值填补与范围</w:t>
            </w:r>
          </w:p>
        </w:tc>
        <w:tc>
          <w:tcPr>
            <w:tcW w:type="dxa" w:w="2948"/>
          </w:tcPr>
          <w:p>
            <w:r>
              <w:rPr>
                <w:sz w:val="18"/>
              </w:rPr>
            </w:r>
            <w:r>
              <w:rPr>
                <w:rFonts w:ascii="Times New Roman" w:hAnsi="Times New Roman" w:eastAsia="Songti SC"/>
                <w:sz w:val="18"/>
              </w:rPr>
              <w:t>有效范围、填充值和缺失值填补策略由YAML显式声明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YAML文件明确记录维度、坐标、数值转换和缺失值填补规则；处理完成后，输出NetCDF文件的属性中同步保存实际执行的变更记录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新登记的条目或纳入严格完整性管理的条目记录文件字节数和SHA-256；同一标签的受控镜像指向相同内容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目录中的全球网格数据均可通过统一标准化流程进入发布和读取环节；对于非规则网格、区域投影和复杂坐标源数据，先由数据源专用预处理模块完成坐标适配，再按同一标准输出。</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YAML将数据源差异与通用处理代码分离。配置字段分别描述输入文件、源变量、维度语义、缺失值处理、版本和质量检查要求，共同构成可执行的数据生产配置。配置以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框架同时提供程序化和本地交互式配置生成方式。二者输出均经同一配置规范校验后，由核心生产函数</w:t>
      </w:r>
      <w:r>
        <w:rPr>
          <w:rFonts w:ascii="Consolas" w:hAnsi="Consolas" w:eastAsia="Songti SC"/>
        </w:rPr>
        <w:t>process_dataset!</w:t>
      </w:r>
      <w:r>
        <w:rPr>
          <w:rFonts w:ascii="Times New Roman" w:hAnsi="Times New Roman" w:eastAsia="Songti SC"/>
        </w:rPr>
        <w:t>执行标准化处理，使数据贡献入口与生产流水线共享一致的字段语义。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。对已有目录条目，系统保留兼容访问方式；对登记完整性信息的新条目，则执行严格校验和事务式落盘。目录规范和获取逻辑对多URL与完整性字段采用统一表达。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标准网格数据读取接口支持以本地NetCDF路径或数据标签访问数据，并提供全域网格数组、指定周期切片、站点全部周期和站点指定周期4种读取方式。标签对应的NetCDF可由目录模块自动获取；默认返回标准变量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 xml:space="preserve">植物功能型比例进一步用于融合 C3 和 C4 植物的叶片光学参数与 Medlyn 气孔导度模型参数，并由 25 ℃下最大羧化速率 </w:t>
      </w:r>
      <w:r>
        <w:rPr>
          <w:rFonts w:ascii="Consolas" w:hAnsi="Consolas" w:eastAsia="Songti SC"/>
        </w:rPr>
        <w:t>VCMAX25</w:t>
      </w:r>
      <w:r>
        <w:rPr>
          <w:rFonts w:ascii="Times New Roman" w:hAnsi="Times New Roman" w:eastAsia="Songti SC"/>
        </w:rPr>
        <w:t xml:space="preserve"> 推导最大电子传递速率 </w:t>
      </w:r>
      <w:r>
        <w:rPr>
          <w:rFonts w:ascii="Consolas" w:hAnsi="Consolas" w:eastAsia="Songti SC"/>
        </w:rPr>
        <w:t>JMAX25</w:t>
      </w:r>
      <w:r>
        <w:rPr>
          <w:rFonts w:ascii="Times New Roman" w:hAnsi="Times New Roman" w:eastAsia="Songti SC"/>
        </w:rPr>
        <w:t xml:space="preserve"> 和细胞色素 b6f 复合体参数 </w:t>
      </w:r>
      <w:r>
        <w:rPr>
          <w:rFonts w:ascii="Consolas" w:hAnsi="Consolas" w:eastAsia="Songti SC"/>
        </w:rPr>
        <w:t>B6F</w:t>
      </w:r>
      <w:r>
        <w:rPr>
          <w:rFonts w:ascii="Times New Roman" w:hAnsi="Times New Roman" w:eastAsia="Songti SC"/>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rPr>
        <w:t xml:space="preserve"> 状态同步进入质量控制。多个标准化数据由此形成结构一致的格点级模式输入。本文关注数据组织和接口衔接，不对Emerald的模式性能或科学模拟结果作独立评价。</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全域网格、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C和Fortran入口已完成编译与下载测试，下载文件通过字节数和SHA-256完整性校验。</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Zenodo公共网络记录；中国科学技术大学（以下简称中科大）校内网 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经度平移、线性缩放、范围过滤、缺失值填补、</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共享生产契约围绕维度、坐标、数值、缺失值填补、配置、输出和空间方向组织31组处理实例，按结构、逐点数值、属性、数值范围和缺失值状态进行验收；完整分类矩阵见补充材料S4。</w:t>
      </w:r>
    </w:p>
    <w:p>
      <w:r>
        <w:rPr>
          <w:rFonts w:ascii="Times New Roman" w:hAnsi="Times New Roman" w:eastAsia="Songti SC"/>
        </w:rPr>
        <w:t>29组非交互处理实例在Windows、macOS和Linux持续集成环境中采用相同判据运行，空间方向测试V01和V02分别对应正确方向与南北反转；自动检查和人工空间审核共同评价数组变换、配置解析和方向控制。</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 xml:space="preserve"> 和 </w:t>
      </w:r>
      <w:r>
        <w:rPr>
          <w:rFonts w:ascii="Consolas" w:hAnsi="Consolas" w:eastAsia="Songti SC"/>
        </w:rPr>
        <w:t>_FillValue</w:t>
      </w:r>
      <w:r>
        <w:rPr>
          <w:rFonts w:ascii="Times New Roman" w:hAnsi="Times New Roman" w:eastAsia="Songti SC"/>
        </w:rPr>
        <w:t xml:space="preserve"> 构造物理值与缺失值掩膜，并独立计算目标经度索引。参考结果记录全域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全域网格逐点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数据目录管理流程涵盖首次建立、版本更新、目录同步、数据集获取、状态查询和历史数据整理。代表性目录包含不同版本的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中科大校内网机构 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场景刻画Zenodo镜像获取特征；中科大校内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持续集成环境运行非交互生产、确定性分发、镜像状态和核心接口测试。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29组非交互实例在三系统持续集成环境中获得一致的数据集结构和逐点数值结果；人工空间审核接受正向图并识别南北反转图，与预设方向结果一致。数据贡献案例贯通YAML配置、标准化生成、目录登记和下游读取，生成数据集与参考数组逐点一致。</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m；GriddingMachine全域网格读取与NetCDF底层Float32数组逐点一致。使用显式标准维度、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全域网格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53892"/>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53892"/>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将ELEV和LAI的端到端中位时间分别由40.503和222.297 ms降至20.929和38.100 ms，降幅为48.3%和82.9%；环境B中的相应降幅分别为53.6%和69.2%（图3）。两个数据文件的传输字节分别增加6.43%和2.16%，逻辑临时占用分别减少约48%和49%。80次SHA-256摘要核验结果一致。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463527"/>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463527"/>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目录与数据获取模块将目录初始化、事务更新、数据集同步、镜像获取、状态查询和历史数据整理组织为统一接口。独立目录支持数据集随镜像和版本更新，事务缓存区与正式数据区分离传输过程和已发布数据。</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公共网络场景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中科大校内网双镜像实验是另一组独立记录：4个数据集分别从FTP和Zenodo重复获取3次，两类镜像各形成12次下载，共24次结果，均达到登记字节数并通过SHA-256核验。在本组中科大校内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中科大校内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目录审计时共登记1179个数据条目，均配置机构FTP地址，部分条目另有Zenodo镜像；框架设计可覆盖这些按统一规范登记的数据条目，本文以14类陆面数据、8类ERA5数据和OISST等代表性案例展示其关键路径。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增加少量传输字节，却减少临时占用，并缩短缓存预热后的端到端访问时间。分发方式的选择应结合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s首步计算。这些结果说明本文数据组织方法能够与既定模式接口衔接。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和STAC分别提供科研文件获取及地理空间数据目录描述工具[15,16]，这些通用工具可与GriddingMachine的标签目录和标准网格组织方式衔接，为多源数据进入模式输入提供补充。</w:t>
      </w:r>
    </w:p>
    <w:p>
      <w:r>
        <w:rPr>
          <w:rFonts w:ascii="Times New Roman" w:hAnsi="Times New Roman" w:eastAsia="Songti SC"/>
        </w:rPr>
        <w:t>持续维护需要兼顾软件版本、数据出处和可引用性。科研软件引用原则[17]、FAIR4RS[18]和TRUST[19]为软件识别、复用和资源库维护提供参考，国内国家科学数据中心的FAIR实践也强调元数据与使用信息的重要性[20]。后续将继续完善数据目录、镜像登记和永久归档，并扩展更多模式接口。</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流程。共享YAML配置统一描述源数据转换规则，数据目录集中记录标签、镜像和完整性信息，统一读取接口将标准化数据组织为陆面参数和气象驱动；同时，完善Matlab、Octave、Python和R对新版数据的自动下载支持，并新增C和Fortran下载入口，相关接口已完成编译与文件完整性测试，扩展了不同科研编程环境下的数据获取方式。</w:t>
      </w:r>
    </w:p>
    <w:p>
      <w:r>
        <w:rPr>
          <w:rFonts w:ascii="Times New Roman" w:hAnsi="Times New Roman" w:eastAsia="Songti SC"/>
        </w:rPr>
        <w:t>受控实例和真实数据案例表明，新版流程能够保持标准化数据与独立参考的一致性，支持直接NetCDF文件分发和FTP—Zenodo镜像内容核验，并将陆面参数与ERA5逐时数据组织为US-NR1模式输入，完成Emerald初始化和60 s首步计算。这些结果验证了新版GriddingMachine在数据转换、文件获取和模式输入组织之间的衔接能力。</w:t>
      </w:r>
    </w:p>
    <w:p>
      <w:r>
        <w:rPr>
          <w:rFonts w:ascii="Times New Roman" w:hAnsi="Times New Roman" w:eastAsia="Songti SC"/>
        </w:rPr>
        <w:t>更新后的GriddingMachine将多源数据处理、标准文件分发和模式输入组织连接为统一的科研数据流程，减少不同地球系统模式重复整理和维护数据的工作，为全球网格数据的持续维护和模式研究提供数据基础。后续工作将继续扩展数据覆盖范围、完善镜像维护机制，并适配更多模式接口。</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目录，对应发布分支提交</w:t>
      </w:r>
      <w:r>
        <w:rPr>
          <w:rFonts w:ascii="Consolas" w:hAnsi="Consolas" w:eastAsia="Songti SC"/>
        </w:rPr>
        <w:t>8b3ff703e14f1a387281f4c814f2620438e8f9aa</w:t>
      </w:r>
      <w:r>
        <w:rPr>
          <w:rFonts w:ascii="Times New Roman" w:hAnsi="Times New Roman" w:eastAsia="Songti SC"/>
        </w:rPr>
        <w:t>；该提交包含跨语言下载入口及其完整性验证记录。研究材料的内容冻结提交、冻结分支及不可变稿件标签由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[2026-09-26].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precipitation/fluxes)[EB/OL]. [2026-09-26]. https://confluence.ecmwf.int/pages/viewpage.action?pageId=197702790.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DOI: 10.11867/j.issn.1001-8166.2014.02.0265.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2025[2026-09-26].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