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 w:line="413" w:lineRule="auto"/>
      </w:pPr>
      <w:r>
        <w:rPr/>
        <w:t xml:space="preserve"/>
      </w:r>
    </w:p>
    <w:sectPr>
      <w:headerReference w:type="default" r:id="rId2"/>
      <w:pgSz w:w="11906" w:h="16838"/>
      <w:pgMar w:top="3345" w:right="1134" w:bottom="1417" w:left="1134" w:header="0" w:footer="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drawing>
        <wp:anchor distT="0" distB="0" distL="0" distR="0" simplePos="0" relativeHeight="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Letterhea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etterhea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Bricolage Grotesque" w:hAnsi="Bricolage Grotesque" w:cs="Bricolage Grotesque"/>
        <w:color w:val="3A3A36"/>
        <w:sz w:val="20"/>
        <w:szCs w:val="20"/>
      </w:rPr>
    </w:rPrDefault>
    <w:pPrDefault>
      <w:pPr>
        <w:spacing w:after="295" w:line="413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letterhead.png"/>
</Relationships>
</file>