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Pay - Footnotes Example</w:t>
      </w:r>
    </w:p>
    <w:p>
      <w:r>
        <w:t>Amazon Pay supports refunds within 180 days</w:t>
      </w:r>
      <w:r>
        <w:rPr>
          <w:rStyle w:val="FootnoteReference"/>
        </w:rPr>
        <w:footnoteReference w:id="1"/>
      </w:r>
      <w:r>
        <w:t xml:space="preserve">. Tokenization is mandatory for stored cards</w:t>
      </w:r>
      <w:r>
        <w:rPr>
          <w:rStyle w:val="FootnoteReference"/>
        </w:rPr>
        <w:footnoteReference w:id="2"/>
      </w:r>
      <w:r>
        <w:t xml:space="preserve">. The refund window is configurable per merchant</w:t>
      </w:r>
      <w:r>
        <w:rPr>
          <w:rStyle w:val="FootnoteReference"/>
        </w:rPr>
        <w:footnoteReference w:id="3"/>
      </w:r>
      <w:r>
        <w:t xml:space="preserve">.</w:t>
      </w:r>
    </w:p>
    <w:p>
      <w:r>
        <w:t>Background: Amazon Pay was launched in 2007 and now spans 18 markets</w:t>
      </w:r>
      <w:r>
        <w:rPr>
          <w:rStyle w:val="FootnoteReference"/>
        </w:rPr>
        <w:footnoteReference w:id="4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Refund window of 180 days is policy as of v2.4 (May 2024).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PCI-DSS 4.0 requires tokenization for all card-on-file scenarios.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Merchants can request a custom window via support@amazonpay.com.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Source: Amazon investor relations Q4 2024 disclosure.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n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