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Pay - Integration Guide</w:t>
      </w:r>
    </w:p>
    <w:p>
      <w:r>
        <w:fldChar w:fldCharType="begin"/>
        <w:instrText xml:space="preserve">TOC \o "1-3" \h \z \u</w:instrText>
        <w:fldChar w:fldCharType="separate"/>
        <w:t>Right-click and select 'Update Field' to populate the table of contents.</w:t>
        <w:fldChar w:fldCharType="end"/>
      </w:r>
    </w:p>
    <w:p>
      <w:pPr>
        <w:pStyle w:val="Heading1"/>
      </w:pPr>
      <w:r>
        <w:t>Introduction</w:t>
      </w:r>
    </w:p>
    <w:p>
      <w:r>
        <w:t>Amazon Pay is a digital payments suite covering wallet, UPI, cards, and rewards.</w:t>
      </w:r>
    </w:p>
    <w:p>
      <w:pPr>
        <w:pStyle w:val="Heading2"/>
      </w:pPr>
      <w:r>
        <w:t>Introduction - subsection</w:t>
      </w:r>
    </w:p>
    <w:p>
      <w:r>
        <w:t>Detailed sub-content for the section above.</w:t>
      </w:r>
    </w:p>
    <w:p>
      <w:pPr>
        <w:pStyle w:val="Heading1"/>
      </w:pPr>
      <w:r>
        <w:t>Getting Started</w:t>
      </w:r>
    </w:p>
    <w:p>
      <w:r>
        <w:t>Sign up for a developer account and obtain API credentials.</w:t>
      </w:r>
    </w:p>
    <w:p>
      <w:pPr>
        <w:pStyle w:val="Heading2"/>
      </w:pPr>
      <w:r>
        <w:t>Getting Started - subsection</w:t>
      </w:r>
    </w:p>
    <w:p>
      <w:r>
        <w:t>Detailed sub-content for the section above.</w:t>
      </w:r>
    </w:p>
    <w:p>
      <w:pPr>
        <w:pStyle w:val="Heading1"/>
      </w:pPr>
      <w:r>
        <w:t>Authentication</w:t>
      </w:r>
    </w:p>
    <w:p>
      <w:r>
        <w:t>Use OAuth 2.0 with PKCE for all client-side flows.</w:t>
      </w:r>
    </w:p>
    <w:p>
      <w:pPr>
        <w:pStyle w:val="Heading2"/>
      </w:pPr>
      <w:r>
        <w:t>Authentication - subsection</w:t>
      </w:r>
    </w:p>
    <w:p>
      <w:r>
        <w:t>Detailed sub-content for the section above.</w:t>
      </w:r>
    </w:p>
    <w:p>
      <w:pPr>
        <w:pStyle w:val="Heading1"/>
      </w:pPr>
      <w:r>
        <w:t>Making Payments</w:t>
      </w:r>
    </w:p>
    <w:p>
      <w:r>
        <w:t>Create charge requests via the /v2/charges endpoint.</w:t>
      </w:r>
    </w:p>
    <w:p>
      <w:pPr>
        <w:pStyle w:val="Heading2"/>
      </w:pPr>
      <w:r>
        <w:t>Making Payments - subsection</w:t>
      </w:r>
    </w:p>
    <w:p>
      <w:r>
        <w:t>Detailed sub-content for the section above.</w:t>
      </w:r>
    </w:p>
    <w:p>
      <w:pPr>
        <w:pStyle w:val="Heading1"/>
      </w:pPr>
      <w:r>
        <w:t>Refunds</w:t>
      </w:r>
    </w:p>
    <w:p>
      <w:r>
        <w:t>Issue partial or full refunds within the 180-day window.</w:t>
      </w:r>
    </w:p>
    <w:p>
      <w:pPr>
        <w:pStyle w:val="Heading2"/>
      </w:pPr>
      <w:r>
        <w:t>Refunds - subsection</w:t>
      </w:r>
    </w:p>
    <w:p>
      <w:r>
        <w:t>Detailed sub-content for the section above.</w:t>
      </w:r>
    </w:p>
    <w:p>
      <w:pPr>
        <w:pStyle w:val="Heading1"/>
      </w:pPr>
      <w:r>
        <w:t>Webhooks</w:t>
      </w:r>
    </w:p>
    <w:p>
      <w:r>
        <w:t>Subscribe to payment.captured, refund.created, and dispute.opened events.</w:t>
      </w:r>
    </w:p>
    <w:p>
      <w:pPr>
        <w:pStyle w:val="Heading2"/>
      </w:pPr>
      <w:r>
        <w:t>Webhooks - subsection</w:t>
      </w:r>
    </w:p>
    <w:p>
      <w:r>
        <w:t>Detailed sub-content for the section above.</w:t>
      </w:r>
    </w:p>
    <w:p>
      <w:pPr>
        <w:pStyle w:val="Heading1"/>
      </w:pPr>
      <w:r>
        <w:t>Error Handling</w:t>
      </w:r>
    </w:p>
    <w:p>
      <w:r>
        <w:t>Retry 5xx responses with exponential backoff up to 24 hours.</w:t>
      </w:r>
    </w:p>
    <w:p>
      <w:pPr>
        <w:pStyle w:val="Heading2"/>
      </w:pPr>
      <w:r>
        <w:t>Error Handling - subsection</w:t>
      </w:r>
    </w:p>
    <w:p>
      <w:r>
        <w:t>Detailed sub-content for the section above.</w:t>
      </w:r>
    </w:p>
    <w:p>
      <w:pPr>
        <w:pStyle w:val="Heading1"/>
      </w:pPr>
      <w:r>
        <w:t>Testing</w:t>
      </w:r>
    </w:p>
    <w:p>
      <w:r>
        <w:t>Use sandbox credentials and test card numbers to validate integrations.</w:t>
      </w:r>
    </w:p>
    <w:p>
      <w:pPr>
        <w:pStyle w:val="Heading2"/>
      </w:pPr>
      <w:r>
        <w:t>Testing - subsection</w:t>
      </w:r>
    </w:p>
    <w:p>
      <w:r>
        <w:t>Detailed sub-content for the section above.</w:t>
      </w:r>
    </w:p>
    <w:p>
      <w:pPr>
        <w:pStyle w:val="Heading1"/>
      </w:pPr>
      <w:r>
        <w:t>Going Live</w:t>
      </w:r>
    </w:p>
    <w:p>
      <w:r>
        <w:t>Submit your integration for review and switch to production keys.</w:t>
      </w:r>
    </w:p>
    <w:p>
      <w:pPr>
        <w:pStyle w:val="Heading2"/>
      </w:pPr>
      <w:r>
        <w:t>Going Live - subsection</w:t>
      </w:r>
    </w:p>
    <w:p>
      <w:r>
        <w:t>Detailed sub-content for the section above.</w:t>
      </w:r>
    </w:p>
    <w:p>
      <w:pPr>
        <w:pStyle w:val="Heading1"/>
      </w:pPr>
      <w:r>
        <w:t>Appendix</w:t>
      </w:r>
    </w:p>
    <w:p>
      <w:r>
        <w:t>Reference tables and SDK changelogs.</w:t>
      </w:r>
    </w:p>
    <w:p>
      <w:pPr>
        <w:pStyle w:val="Heading2"/>
      </w:pPr>
      <w:r>
        <w:t>Appendix - subsection</w:t>
      </w:r>
    </w:p>
    <w:p>
      <w:r>
        <w:t>Detailed sub-content for the section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