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sdt>
      <w:sdtPr>
        <w15:appearance w15:val="boundingBox"/>
        <w:placeholder>
          <w:docPart w:val="DefaultPlaceholder_TEXT"/>
        </w:placeholder>
        <w:rPr/>
      </w:sdtPr>
      <w:sdtContent>
        <w:p>
          <w:pPr>
            <w:pBdr/>
            <w:spacing/>
            <w:ind/>
            <w:rPr/>
          </w:pPr>
          <w:r>
            <w:t xml:space="preserve">Developers can embed payment buttons, deep lin</w:t>
          </w:r>
          <w:r>
            <w:t xml:space="preserve">ks, and order tracking callbacks for seamless post-payment journeys. Voice and visual cues in Alexa flows reduce friction while preserving security. Accessibility features include clear contrast, readable typography, and support for assistive technologies.</w:t>
          </w:r>
          <w:r/>
          <w:r/>
        </w:p>
      </w:sdtContent>
    </w:sdt>
    <w:p>
      <w:pPr>
        <w:pBdr/>
        <w:spacing/>
        <w:ind/>
        <w:rPr/>
      </w:pPr>
      <w:r>
        <w:rPr>
          <w:b/>
        </w:rPr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198"/>
            </w:rP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2025-09-16T12:34:28Z</dcterms:modified>
  <cp:category/>
</cp:coreProperties>
</file>