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harts/chart1.xml" ContentType="application/vnd.openxmlformats-officedocument.drawingml.chart+xml"/>
  <Override PartName="/customXml/itemProps1.xml" ContentType="application/vnd.openxmlformats-officedocument.customXmlProperties+xml"/>
  <Override PartName="/word/charts/style1.xml" ContentType="application/vnd.ms-office.chartsty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b/>
          <w:sz w:val="40"/>
        </w:rPr>
        <w:t xml:space="preserve">Amazon Pay - Document with Embedded Excel Chart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Amazon Pay is a digital payments suite that unifies wallet, UPI, cards, EMI, and rewards into a single experience across online and offline merchant</w:t>
      </w:r>
      <w:r>
        <w:t xml:space="preserve">s. It supports fast bill payments for utilities, DTH, broadband, and postpaid; mobile recharges; subscription payments; and recurring mandates. Users benefit from instant cashback campaigns, scratch cards, and tiered rewards that unlock with regular usage.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highlight w:val="none"/>
        </w:rPr>
      </w:pPr>
      <w:r>
        <w:rPr>
          <w:b/>
        </w:rPr>
        <w:t xml:space="preserve">[Embedded Excel Chart Object Below]</w:t>
      </w:r>
      <w:r/>
    </w:p>
    <w:p w14:paraId="758F911F">
      <w:pPr>
        <w:pBdr/>
        <w:spacing/>
        <w:ind/>
        <w:rPr/>
      </w:pPr>
      <w:r>
        <w:rPr>
          <w:b/>
          <w:highlight w:val="none"/>
        </w:rPr>
      </w:r>
      <w:r>
        <w:rPr>
          <w:b/>
          <w:highlight w:val="none"/>
        </w:rPr>
        <w:drawing>
          <wp:inline distT="0" distB="0" distL="0" distR="0">
            <wp:extent cx="5472000" cy="3204000"/>
            <wp:effectExtent l="0" t="0" r="0" b="0"/>
            <wp:docPr id="1" nam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b/>
          <w:highlight w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40000" cy="1524000"/>
                <wp:effectExtent l="0" t="0" r="0" b="0"/>
                <wp:docPr id="2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4000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200.00pt;height:120.00pt;mso-wrap-distance-left:0.00pt;mso-wrap-distance-top:0.00pt;mso-wrap-distance-right:0.00pt;mso-wrap-distance-bottom:0.00pt;visibility:visible;" filled="f" stroked="f"/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hart" Target="charts/chart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Relationship Id="rId2" Type="http://schemas.microsoft.com/office/2011/relationships/chartStyle" Target="style1.xml" /><Relationship Id="rId3" Type="http://schemas.microsoft.com/office/2011/relationships/chartColorStyle" Target="colors1.xml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en-US"/>
  <c:roundedCorners val="0"/>
  <mc:AlternateContent>
    <mc:Choice Requires="c14">
      <c14:style val="102"/>
    </mc:Choice>
    <mc:Fallback>
      <c:style val="2"/>
    </mc:Fallback>
  </mc:AlternateContent>
  <c:chart>
    <c:title>
      <c:layout/>
      <c:overlay val="0"/>
      <c:spPr bwMode="auto">
        <a:prstGeom prst="rect">
          <a:avLst/>
        </a:prstGeom>
        <a:noFill/>
        <a:ln>
          <a:noFill/>
        </a:ln>
      </c:spPr>
      <c:txPr>
        <a:bodyPr/>
        <a:p>
          <a:pPr>
            <a:defRPr sz="1400" b="0" spc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/>
        </a:p>
      </c:txPr>
    </c:title>
    <c:autoTitleDeleted val="0"/>
    <c:plotArea>
      <c:layout>
        <c:manualLayout/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Credit card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1"/>
            </a:solidFill>
            <a:ln>
              <a:noFill/>
            </a:ln>
          </c:spPr>
          <c:invertIfNegative val="0"/>
          <c:dLbls>
            <c:dLblPos val="ctr"/>
            <c:showBubbleSize val="0"/>
            <c:showCatName val="0"/>
            <c:showLeaderLines val="0"/>
            <c:showLegendKey val="0"/>
            <c:showPercent val="0"/>
            <c:showSerName val="0"/>
            <c:showVal val="0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Sheet1!$A$2:$A$7</c:f>
              <c:strCache>
                <c:ptCount val="6"/>
                <c:pt idx="0">
                  <c:v>USA</c:v>
                </c:pt>
                <c:pt idx="1">
                  <c:v>CHN</c:v>
                </c:pt>
                <c:pt idx="2">
                  <c:v>RUS</c:v>
                </c:pt>
                <c:pt idx="3">
                  <c:v>GBR</c:v>
                </c:pt>
                <c:pt idx="4">
                  <c:v>GER</c:v>
                </c:pt>
                <c:pt idx="5">
                  <c:v>JPN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46</c:v>
                </c:pt>
                <c:pt idx="1">
                  <c:v>38</c:v>
                </c:pt>
                <c:pt idx="2">
                  <c:v>24</c:v>
                </c:pt>
                <c:pt idx="3">
                  <c:v>29</c:v>
                </c:pt>
                <c:pt idx="4">
                  <c:v>11</c:v>
                </c:pt>
                <c:pt idx="5">
                  <c:v>7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UPI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2"/>
            </a:solidFill>
            <a:ln>
              <a:noFill/>
            </a:ln>
          </c:spPr>
          <c:invertIfNegative val="0"/>
          <c:dLbls>
            <c:dLblPos val="ctr"/>
            <c:showBubbleSize val="0"/>
            <c:showCatName val="0"/>
            <c:showLeaderLines val="0"/>
            <c:showLegendKey val="0"/>
            <c:showPercent val="0"/>
            <c:showSerName val="0"/>
            <c:showVal val="0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Sheet1!$A$2:$A$7</c:f>
              <c:strCache>
                <c:ptCount val="6"/>
                <c:pt idx="0">
                  <c:v>USA</c:v>
                </c:pt>
                <c:pt idx="1">
                  <c:v>CHN</c:v>
                </c:pt>
                <c:pt idx="2">
                  <c:v>RUS</c:v>
                </c:pt>
                <c:pt idx="3">
                  <c:v>GBR</c:v>
                </c:pt>
                <c:pt idx="4">
                  <c:v>GER</c:v>
                </c:pt>
                <c:pt idx="5">
                  <c:v>JPN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29</c:v>
                </c:pt>
                <c:pt idx="1">
                  <c:v>27</c:v>
                </c:pt>
                <c:pt idx="2">
                  <c:v>26</c:v>
                </c:pt>
                <c:pt idx="3">
                  <c:v>17</c:v>
                </c:pt>
                <c:pt idx="4">
                  <c:v>19</c:v>
                </c:pt>
                <c:pt idx="5">
                  <c:v>14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Cash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3"/>
            </a:solidFill>
            <a:ln>
              <a:noFill/>
            </a:ln>
          </c:spPr>
          <c:invertIfNegative val="0"/>
          <c:dLbls>
            <c:dLblPos val="ctr"/>
            <c:showBubbleSize val="0"/>
            <c:showCatName val="0"/>
            <c:showLeaderLines val="0"/>
            <c:showLegendKey val="0"/>
            <c:showPercent val="0"/>
            <c:showSerName val="0"/>
            <c:showVal val="0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Sheet1!$A$2:$A$7</c:f>
              <c:strCache>
                <c:ptCount val="6"/>
                <c:pt idx="0">
                  <c:v>USA</c:v>
                </c:pt>
                <c:pt idx="1">
                  <c:v>CHN</c:v>
                </c:pt>
                <c:pt idx="2">
                  <c:v>RUS</c:v>
                </c:pt>
                <c:pt idx="3">
                  <c:v>GBR</c:v>
                </c:pt>
                <c:pt idx="4">
                  <c:v>GER</c:v>
                </c:pt>
                <c:pt idx="5">
                  <c:v>JPN</c:v>
                </c:pt>
              </c:strCache>
            </c:strRef>
          </c:cat>
          <c:val>
            <c:numRef>
              <c:f>Sheet1!$D$2:$D$7</c:f>
              <c:numCache>
                <c:formatCode>General</c:formatCode>
                <c:ptCount val="6"/>
                <c:pt idx="0">
                  <c:v>29</c:v>
                </c:pt>
                <c:pt idx="1">
                  <c:v>23</c:v>
                </c:pt>
                <c:pt idx="2">
                  <c:v>32</c:v>
                </c:pt>
                <c:pt idx="3">
                  <c:v>19</c:v>
                </c:pt>
                <c:pt idx="4">
                  <c:v>14</c:v>
                </c:pt>
                <c:pt idx="5">
                  <c:v>17</c:v>
                </c:pt>
              </c:numCache>
            </c:numRef>
          </c:val>
        </c:ser>
        <c:dLbls>
          <c:dLblPos val="ctr"/>
          <c:showBubbleSize val="0"/>
          <c:showCatName val="0"/>
          <c:showLeaderLines val="0"/>
          <c:showLegendKey val="0"/>
          <c:showPercent val="0"/>
          <c:showSerName val="0"/>
          <c:showVal val="0"/>
          <c:spPr bwMode="auto">
            <a:prstGeom prst="rect">
              <a:avLst/>
            </a:prstGeom>
            <a:noFill/>
            <a:ln>
              <a:noFill/>
            </a:ln>
          </c:spPr>
          <c:txPr>
            <a:bodyPr/>
            <a:p>
              <a:pPr>
                <a:defRPr sz="90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dLbls>
        <c:gapWidth val="219"/>
        <c:overlap val="-26"/>
        <c:axId val="1866169473"/>
        <c:axId val="1866169474"/>
      </c:barChart>
      <c:catAx>
        <c:axId val="186616947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Cambria"/>
                <a:ea typeface="Arial"/>
                <a:cs typeface="Arial"/>
              </a:defRPr>
            </a:pPr>
            <a:endParaRPr/>
          </a:p>
        </c:txPr>
        <c:crossAx val="1866169474"/>
        <c:crosses val="autoZero"/>
        <c:auto val="1"/>
        <c:lblAlgn val="ctr"/>
        <c:lblOffset val="100"/>
        <c:noMultiLvlLbl val="0"/>
      </c:catAx>
      <c:valAx>
        <c:axId val="1866169474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Cambria"/>
                <a:ea typeface="Arial"/>
                <a:cs typeface="Arial"/>
              </a:defRPr>
            </a:pPr>
            <a:endParaRPr/>
          </a:p>
        </c:txPr>
        <c:crossAx val="1866169473"/>
        <c:crosses val="autoZero"/>
        <c:crossBetween val="between"/>
      </c:valAx>
      <c:spPr bwMode="auto">
        <a:prstGeom prst="rect">
          <a:avLst/>
        </a:prstGeom>
        <a:noFill/>
        <a:ln>
          <a:noFill/>
        </a:ln>
      </c:spPr>
    </c:plotArea>
    <c:legend>
      <c:legendPos val="b"/>
      <c:layout/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 bwMode="auto">
    <a:xfrm>
      <a:off x="0" y="0"/>
      <a:ext cx="5472000" cy="3204000"/>
    </a:xfrm>
  </c:spPr>
  <c:txPr>
    <a:bodyPr/>
    <a:p>
      <a:pPr>
        <a:defRPr sz="1000">
          <a:solidFill>
            <a:schemeClr val="tx1"/>
          </a:solidFill>
          <a:latin typeface="+mn-lt"/>
          <a:ea typeface="+mn-ea"/>
          <a:cs typeface="+mn-cs"/>
        </a:defRPr>
      </a:pPr>
      <a:endParaRPr/>
    </a:p>
  </c:txPr>
  <c:externalData r:id="rId1"/>
  <c:printSettings>
    <c:headerFooter/>
    <c:pageMargins l="0.69999999999999996" r="0.69999999999999996" t="0.75" b="0.75" header="0.29999999999999999" footer="0.29999999999999999"/>
    <c:pageSetup/>
  </c:printSettings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embeddings/_rels/Microsoft_Excel_Worksheet1.xlsx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2026-04-30T11:41:47Z</dcterms:modified>
  <cp:category/>
</cp:coreProperties>
</file>