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spacing w:after="160" w:before="240"/>
      </w:pPr>
      <w:r>
        <w:rPr>
          <w:rFonts w:ascii="Calibri" w:cs="Calibri" w:eastAsia="Calibri" w:hAnsi="Calibri"/>
          <w:color w:val="323E4F"/>
          <w:sz w:val="28"/>
          <w:szCs w:val="28"/>
        </w:rPr>
        <w:t xml:space="preserve">ANEXO. ENCUESTA DE INTENCIÓN VOCACIONAL – FARMACIA Y BIOQUÍMICA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Región Lambayeque – estudiantes de 4.° y 5.° de secundaria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A. Ficha técnica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6200"/>
      </w:tblGrid>
      <w:tr>
        <w:trPr>
          <w:tblHeader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Elemento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Descripción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Objetivo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Estimar el porcentaje de escolares de Lambayeque interesados en estudiar Farmacia y Bioquímica y los factores que influyen en su elección, para validar la demanda educativa del Informe de Pertinencia (Tablas 3, 4 y 7).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Población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Estudiantes de 4.° y 5.° de secundaria de instituciones educativas públicas y privadas de las provincias de Chiclayo, Lambayeque y Ferreñafe.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Tamaño de muestra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n = 384 (nivel de confianza 95 %, margen de error ±5 %, p = 0,5; población grande). Se recomienda sumar 10 % por no respuesta: 423 encuestas.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Muestreo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Estratificado proporcional por provincia, según la distribución de jóvenes de 15 a 29 años del Censo 2017 (OSEL, 2025, p. 13): Chiclayo 67,4 % (259), Lambayeque 25,2 % (97), Ferreñafe 7,4 % (28). Dentro de cada provincia, selección de colegios públicos y privados según la matrícula de ESCALE.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Aplicación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Autoadministrada en aula (papel o formulario digital), 15 a 20 minutos, con consentimiento de la institución educativa y asentimiento informado del estudiante.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Base metodológica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Dimensiones de orientación vocacional (personales, de agencia y ambientales) del cuestionario validado para escolares de Lambayeque de Villalobos Véliz et al. (2026), V de Aiken = 1,00 y alfa de Cronbach = 0,904. Para el diagnóstico completo, aplicar ese instrumento con autorización de sus autores.</w:t>
            </w:r>
          </w:p>
        </w:tc>
      </w:tr>
      <w:tr>
        <w:trPr>
          <w:cantSplit/>
        </w:trPr>
        <w:tc>
          <w:tcPr>
            <w:tcW w:type="dxa" w:w="2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Indicador clave</w:t>
            </w:r>
          </w:p>
        </w:tc>
        <w:tc>
          <w:tcPr>
            <w:tcW w:type="dxa" w:w="6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Tasa de interés efectivo = % "Definitivamente sí" + 0,5 × % "Probablemente sí" en la pregunta 9. Este porcentaje reemplaza a los escenarios de la Tabla 4 del informe.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B. Presentación al estudiante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Estimado(a) estudiante: esta encuesta busca conocer tus planes de estudio después del colegio. Es anónima y voluntaria; tus respuestas solo se usarán con fines de investigación. No hay respuestas correctas ni incorrectas. Gracias por tu participación.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C. Datos generales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200"/>
      </w:tblGrid>
      <w:tr>
        <w:trPr>
          <w:tblHeader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Pregunta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Respuesta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Provincia donde estudias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Chiclayo   ☐ Lambayeque   ☐ Ferreñafe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Distrito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______________________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Tipo de colegio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Público   ☐ Privado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Grado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4.° de secundaria   ☐ 5.° de secundaria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5. Edad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______ años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6. Sexo</w:t>
            </w:r>
          </w:p>
        </w:tc>
        <w:tc>
          <w:tcPr>
            <w:tcW w:type="dxa" w:w="52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 Mujer   ☐ Hombre   ☐ Prefiero no decir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D. Planes después del colegio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7. Al terminar el colegio, ¿qué piensas hacer principalmente? (marca una opción)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una universidad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 instituto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Estudiar en un CETPRO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Trabajar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Trabajar y estudiar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Emprender un negocio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Todavía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8. ¿Qué carrera te gustaría estudiar? Marca tu primera opción (1) y tu segunda opción (2).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700"/>
        <w:gridCol w:w="700"/>
        <w:gridCol w:w="2800"/>
        <w:gridCol w:w="700"/>
        <w:gridCol w:w="7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Carrera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1.ª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2.ª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Carrera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1.ª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2.ª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Farmacia y Bioquímica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Civil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Medicina Humana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de Sistemas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Enfermería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Industrial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Obstetricia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Ingeniería Agroindustrial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Tecnología Médica (laboratorio)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Derecho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Nutrición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Administración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Odontología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Contabilidad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Psicología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Educación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Biología / Biotecnología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Otra: ____________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E. Interés en Farmacia y Bioquímica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Farmacia y Bioquímica forma Químicos Farmacéuticos que trabajan en farmacias y boticas, hospitales y clínicas, laboratorios clínicos, industria farmacéutica y alimentaria, control de calidad e investigación.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9. ¿Considerarías estudiar Farmacia y Bioquímica?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Definitivamente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Probablemente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estoy seguro(a)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Probablemente no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Definitivamente no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10. Si respondiste "sí" o "no estoy seguro(a)": ¿qué campo te atrae más? (puedes marcar hasta dos)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Farmacia comunitaria (boticas y farmacias)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Farmacia hospitalaria y clínica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Laboratorio clínico y diagnóstico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Industria farmacéutica y cosmética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Control de calidad de alimentos y agroindustria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Investigación (productos naturales, biotecnología)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Toxicología y medio ambiente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11. ¿En qué año te gustaría empezar tus estudios universitarios?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El próximo año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En dos años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Más adelante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F. Seguridad y factores de la elección</w:t>
      </w:r>
    </w:p>
    <w:p>
      <w:pPr>
        <w:spacing w:after="12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Marca del 1 al 5, donde 1 = totalmente en desacuerdo y 5 = totalmente de acuerdo.</w:t>
      </w: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E1. Factores personales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Conozco mis intereses y habilidades.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Me gustan los cursos de Química, Biología y Matemática.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Tengo claro qué carrera quiero estudiar.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Me interesa trabajar en el área de la salud.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E2. Capacidad para tomar decisiones (agencia)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He buscado información sobre carreras y universidades.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He realizado un test vocacional.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Puedo tomar mi decisión de carrera por mí mismo(a).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Me siento seguro(a) de la carrera que elegiré.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E3. Factores del entorno (ambientales)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Mi familia influye en la carrera que elegiré.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Mis docentes o tutores me orientan sobre carreras.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Mis amigos influyen en mi elección.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La situación económica de mi familia limita mi elección.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60"/>
        <w:ind w:left="300"/>
      </w:pPr>
      <w:r>
        <w:rPr>
          <w:rFonts w:ascii="Arial" w:cs="Arial" w:eastAsia="Arial" w:hAnsi="Arial"/>
          <w:b/>
          <w:bCs/>
          <w:i/>
          <w:iCs/>
          <w:sz w:val="14"/>
          <w:szCs w:val="14"/>
        </w:rPr>
        <w:t xml:space="preserve">Nota: dimensiones basadas en Villalobos Véliz et al. (2026). Ítems de elaboración propia.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12. ¿Qué tan importantes son estos aspectos al elegir tu carrera y universidad?</w:t>
      </w:r>
    </w:p>
    <w:p>
      <w:pPr>
        <w:keepNext/>
        <w:spacing w:after="60" w:before="160"/>
        <w:jc w:val="center"/>
      </w:pPr>
      <w:r>
        <w:rPr>
          <w:rFonts w:ascii="Calibri" w:cs="Calibri" w:eastAsia="Calibri" w:hAnsi="Calibri"/>
          <w:sz w:val="22"/>
          <w:szCs w:val="22"/>
        </w:rPr>
        <w:t xml:space="preserve">Tabla E4. Importancia de los factores de elección (1 = nada importante, 5 = muy importante)</w:t>
      </w:r>
    </w:p>
    <w:tbl>
      <w:tblPr>
        <w:tblW w:type="dxa" w:w="84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400"/>
        <w:gridCol w:w="600"/>
        <w:gridCol w:w="600"/>
        <w:gridCol w:w="600"/>
        <w:gridCol w:w="600"/>
        <w:gridCol w:w="600"/>
      </w:tblGrid>
      <w:tr>
        <w:trPr>
          <w:tblHeader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Ítem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1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2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3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4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1F4E2C" w:color="auto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15"/>
                <w:szCs w:val="15"/>
              </w:rPr>
              <w:t xml:space="preserve">5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1. Oportunidades de empleo al terminar la carrera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2. Buenos ingresos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3. Vocación o gusto por la carrera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4. Prestigio de la universidad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5. Laboratorios e infraestructura moderna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6. Costo de la pensión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7. Cercanía a mi casa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  <w:tr>
        <w:trPr>
          <w:cantSplit/>
        </w:trPr>
        <w:tc>
          <w:tcPr>
            <w:tcW w:type="dxa" w:w="5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left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8. Becas, descuentos o crédito educativo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  <w:tc>
          <w:tcPr>
            <w:tcW w:type="dxa" w:w="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15"/>
                <w:szCs w:val="15"/>
              </w:rPr>
              <w:t xml:space="preserve">☐</w:t>
            </w:r>
          </w:p>
        </w:tc>
      </w:tr>
    </w:tbl>
    <w:p>
      <w:pPr>
        <w:spacing w:after="120"/>
      </w:pP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G. Conocimiento de la oferta y condiciones económicas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13. ¿Sabes qué universidades de Lambayeque ofrecen Farmacia y Bioquímica?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Sí, ¿cuál(es)? ____________________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14. ¿Cuánto podría pagar tu familia como pensión mensual universitaria?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Menos de S/ 500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500 a S/ 799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800 a S/ 1 099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De S/ 1 100 a S/ 1 499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S/ 1 500 o más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15. ¿Necesitarías una beca o crédito educativo para estudiar?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Sí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lo sé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16. ¿En qué turno preferirías estudiar?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Mañana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Tarde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Noche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Indistinto</w:t>
      </w:r>
    </w:p>
    <w:p>
      <w:pPr>
        <w:keepNext/>
        <w:spacing w:after="100" w:before="160" w:line="360"/>
        <w:jc w:val="both"/>
      </w:pPr>
      <w:r>
        <w:rPr>
          <w:rFonts w:ascii="Calibri" w:cs="Calibri" w:eastAsia="Calibri" w:hAnsi="Calibri"/>
          <w:b/>
          <w:bCs/>
          <w:sz w:val="24"/>
          <w:szCs w:val="24"/>
        </w:rPr>
        <w:t xml:space="preserve">17. ¿Has recibido orientación vocacional? (puedes marcar varias)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En mi colegio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Plataforma "Mi Carrera en tu Cole" (GRE Lambayeque)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Portal "Ponte en Carrera" (MINEDU)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Ferias o charlas de universidades</w:t>
      </w:r>
    </w:p>
    <w:p>
      <w:pPr>
        <w:spacing w:after="60"/>
        <w:ind w:left="567"/>
      </w:pPr>
      <w:r>
        <w:rPr>
          <w:rFonts w:ascii="Calibri" w:cs="Calibri" w:eastAsia="Calibri" w:hAnsi="Calibri"/>
          <w:sz w:val="22"/>
          <w:szCs w:val="22"/>
        </w:rPr>
        <w:t xml:space="preserve">☐ No he recibido orientación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H. Procesamiento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Tasa de interés efectivo (pregunta 9) por provincia, tipo de colegio y sexo; aplicarla a la población objetivo del informe (Tabla 3) para actualizar las Tablas 4 y 7.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Porcentaje de estudiantes que eligen Farmacia y Bioquímica como primera o segunda opción (pregunta 8), comparado con Medicina, Enfermería y otras carreras de salud.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Media y desviación estándar de las Tablas E1 a E4; alfa de Cronbach de cada dimensión.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Distribución de la pensión que pueden pagar las familias (pregunta 14), para el análisis de viabilidad.</w:t>
      </w:r>
    </w:p>
    <w:p>
      <w:pPr>
        <w:keepNext/>
        <w:spacing w:after="120" w:before="200"/>
        <w:ind w:left="284"/>
      </w:pPr>
      <w:r>
        <w:rPr>
          <w:rFonts w:ascii="Calibri" w:cs="Calibri" w:eastAsia="Calibri" w:hAnsi="Calibri"/>
          <w:color w:val="323E4F"/>
          <w:sz w:val="26"/>
          <w:szCs w:val="26"/>
        </w:rPr>
        <w:t xml:space="preserve">Referencias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Villalobos Véliz, L. del C., Hernández Fernández, B., et al. (2026). Orientación vocacional en escolares: diseño y validación de un instrumento diagnóstico. Areté, Revista Digital del Doctorado en Educación, 12(23).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Estrategia de formación vocacional para la orientación vocacional (encuesta a estudiantes de 5.° de secundaria de colegios urbanos de Lambayeque). Revista EPT, Universidad Señor de Sipán.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Villalobos Véliz, L. del C. Tesis sobre orientación vocacional en la I.E.P. Santa Lucía de Lambayeque. Repositorio USS.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Aprendizaje basado en proyectos y toma de decisiones vocacionales en estudiantes de 5.° de secundaria de Chiclayo. Repositorio Académico UPC.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Gerencia Regional de Educación Lambayeque. Plataforma "Mi Carrera en tu Cole".</w:t>
      </w:r>
    </w:p>
    <w:p>
      <w:pPr>
        <w:pStyle w:val="ListParagraph"/>
        <w:numPr>
          <w:ilvl w:val="0"/>
          <w:numId w:val="2"/>
        </w:numPr>
        <w:spacing w:after="80" w:line="360"/>
        <w:jc w:val="both"/>
      </w:pPr>
      <w:r>
        <w:rPr>
          <w:rFonts w:ascii="Calibri" w:cs="Calibri" w:eastAsia="Calibri" w:hAnsi="Calibri"/>
          <w:sz w:val="24"/>
          <w:szCs w:val="24"/>
        </w:rPr>
        <w:t xml:space="preserve">GRTPE Lambayeque – OSEL (2025). Mercado laboral de los jóvenes en la región Lambayeque.</w:t>
      </w:r>
    </w:p>
    <w:sectPr>
      <w:headerReference w:type="default" r:id="rId7"/>
      <w:pgSz w:w="11906" w:h="16838" w:orient="portrait"/>
      <w:pgMar w:top="2234" w:right="1701" w:bottom="1134" w:left="1701" w:header="700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8504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3020"/>
      <w:gridCol w:w="3150"/>
      <w:gridCol w:w="1000"/>
      <w:gridCol w:w="1334"/>
    </w:tblGrid>
    <w:tr>
      <w:trPr>
        <w:trHeight w:val="280" w:hRule="atLeast"/>
      </w:trPr>
      <w:tc>
        <w:tcPr>
          <w:tcW w:type="dxa" w:w="3020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r>
            <w:drawing>
              <wp:inline distT="0" distB="0" distL="0" distR="0">
                <wp:extent cx="1695450" cy="4191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695450" cy="4191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315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INFORME TÉCNICO</w:t>
          </w:r>
        </w:p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Fecha: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25/09/2026</w:t>
          </w:r>
        </w:p>
      </w:tc>
    </w:tr>
    <w:tr>
      <w:trPr>
        <w:trHeight w:val="2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3150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PARA LA CREACIÓN DE</w:t>
          </w:r>
        </w:p>
        <w:p>
          <w:pPr>
            <w:jc w:val="center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PROGRAMAS EN FILIALES</w:t>
          </w:r>
        </w:p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Versión: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00</w:t>
          </w:r>
        </w:p>
      </w:tc>
    </w:tr>
    <w:tr>
      <w:trPr>
        <w:trHeight w:val="280" w:hRule="atLeast"/>
      </w:trPr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1000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pPr>
            <w:jc w:val="left"/>
          </w:pP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Hoja:</w:t>
          </w:r>
        </w:p>
      </w:tc>
      <w:tc>
        <w:tcPr>
          <w:tcW w:type="dxa" w:w="13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left w:type="dxa" w:w="60"/>
            <w:right w:type="dxa" w:w="60"/>
          </w:tcMar>
          <w:vAlign w:val="center"/>
        </w:tcPr>
        <w:p>
          <w:r>
            <w:rPr>
              <w:rFonts w:ascii="Arial" w:cs="Arial" w:eastAsia="Arial" w:hAnsi="Arial"/>
              <w:color w:val="404040"/>
              <w:sz w:val="15"/>
              <w:szCs w:val="15"/>
            </w:rPr>
            <w:fldChar w:fldCharType="begin"/>
            <w:instrText xml:space="preserve">PAGE</w:instrText>
            <w:fldChar w:fldCharType="separate"/>
            <w:fldChar w:fldCharType="end"/>
          </w:r>
          <w:r>
            <w:rPr>
              <w:rFonts w:ascii="Arial" w:cs="Arial" w:eastAsia="Arial" w:hAnsi="Arial"/>
              <w:b/>
              <w:bCs/>
              <w:color w:val="404040"/>
              <w:sz w:val="15"/>
              <w:szCs w:val="15"/>
            </w:rPr>
            <w:t xml:space="preserve"> de </w:t>
          </w:r>
          <w:r>
            <w:rPr>
              <w:rFonts w:ascii="Arial" w:cs="Arial" w:eastAsia="Arial" w:hAnsi="Arial"/>
              <w:color w:val="404040"/>
              <w:sz w:val="15"/>
              <w:szCs w:val="15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</w:tbl>
  <w:p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▪"/>
      <w:lvlJc w:val="left"/>
      <w:pPr>
        <w:ind w:left="720" w:hanging="360"/>
      </w:pPr>
    </w:lvl>
    <w:lvl w:ilvl="1" w15:tentative="1">
      <w:start w:val="1"/>
      <w:numFmt w:val="bullet"/>
      <w:lvlText w:val="–"/>
      <w:lvlJc w:val="left"/>
      <w:pPr>
        <w:ind w:left="14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8d919ee77f739828e601bb3cb6cae8a109f00e8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Informe de Pertinencia – Farmacia y Bioquímica – Lambayeque/Chiclayo</dc:title>
  <dc:creator>Programa Académico de Farmacia y Bioquímica</dc:creator>
  <cp:lastModifiedBy>Un-named</cp:lastModifiedBy>
  <cp:revision>1</cp:revision>
  <dcterms:created xsi:type="dcterms:W3CDTF">2026-09-26T05:47:58.780Z</dcterms:created>
  <dcterms:modified xsi:type="dcterms:W3CDTF">2026-09-26T05:47:58.780Z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