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en la costa norte del Perú. Se extiende en una superficie de </w:t>
      </w:r>
      <w:r>
        <w:rPr>
          <w:rFonts w:ascii="Calibri" w:cs="Calibri" w:eastAsia="Calibri" w:hAnsi="Calibri"/>
          <w:b/>
          <w:bCs/>
          <w:sz w:val="24"/>
          <w:szCs w:val="24"/>
        </w:rPr>
        <w:t xml:space="preserve">14 479,52 km²</w:t>
      </w:r>
      <w:r>
        <w:rPr>
          <w:rFonts w:ascii="Calibri" w:cs="Calibri" w:eastAsia="Calibri" w:hAnsi="Calibri"/>
          <w:sz w:val="24"/>
          <w:szCs w:val="24"/>
        </w:rPr>
        <w:t xml:space="preserve">.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Ferreñafe y Lambayeque) y 38 distritos</w:t>
      </w:r>
      <w:r>
        <w:rPr>
          <w:rFonts w:ascii="Calibri" w:cs="Calibri" w:eastAsia="Calibri" w:hAnsi="Calibri"/>
          <w:sz w:val="24"/>
          <w:szCs w:val="24"/>
        </w:rPr>
        <w:t xml:space="preserve">, siendo su capital la ciudad de Chiclayo.</w:t>
      </w:r>
    </w:p>
    <w:p>
      <w:pPr>
        <w:spacing w:after="120" w:line="360"/>
        <w:jc w:val="both"/>
      </w:pPr>
      <w:r>
        <w:rPr>
          <w:rFonts w:ascii="Calibri" w:cs="Calibri" w:eastAsia="Calibri" w:hAnsi="Calibri"/>
          <w:sz w:val="24"/>
          <w:szCs w:val="24"/>
        </w:rPr>
        <w:t xml:space="preserve">Según el Censo 2017, Lambayeque tenía </w:t>
      </w:r>
      <w:r>
        <w:rPr>
          <w:rFonts w:ascii="Calibri" w:cs="Calibri" w:eastAsia="Calibri" w:hAnsi="Calibri"/>
          <w:b/>
          <w:bCs/>
          <w:sz w:val="24"/>
          <w:szCs w:val="24"/>
        </w:rPr>
        <w:t xml:space="preserve">1 197 260 habitantes</w:t>
      </w:r>
      <w:r>
        <w:rPr>
          <w:rFonts w:ascii="Calibri" w:cs="Calibri" w:eastAsia="Calibri" w:hAnsi="Calibri"/>
          <w:sz w:val="24"/>
          <w:szCs w:val="24"/>
        </w:rPr>
        <w:t xml:space="preserve">, de los cuales la provincia de Chiclayo concentraba </w:t>
      </w:r>
      <w:r>
        <w:rPr>
          <w:rFonts w:ascii="Calibri" w:cs="Calibri" w:eastAsia="Calibri" w:hAnsi="Calibri"/>
          <w:b/>
          <w:bCs/>
          <w:sz w:val="24"/>
          <w:szCs w:val="24"/>
        </w:rPr>
        <w:t xml:space="preserve">799 675 (66,8 %)</w:t>
      </w:r>
      <w:r>
        <w:rPr>
          <w:rFonts w:ascii="Calibri" w:cs="Calibri" w:eastAsia="Calibri" w:hAnsi="Calibri"/>
          <w:sz w:val="24"/>
          <w:szCs w:val="24"/>
        </w:rPr>
        <w:t xml:space="preserve">. Las proyecciones del INEI ubican a la región por encima de </w:t>
      </w:r>
      <w:r>
        <w:rPr>
          <w:rFonts w:ascii="Calibri" w:cs="Calibri" w:eastAsia="Calibri" w:hAnsi="Calibri"/>
          <w:b/>
          <w:bCs/>
          <w:sz w:val="24"/>
          <w:szCs w:val="24"/>
        </w:rPr>
        <w:t xml:space="preserve">1,3 millones de habitantes hacia 2025</w:t>
      </w:r>
      <w:r>
        <w:rPr>
          <w:rFonts w:ascii="Calibri" w:cs="Calibri" w:eastAsia="Calibri" w:hAnsi="Calibri"/>
          <w:sz w:val="24"/>
          <w:szCs w:val="24"/>
        </w:rPr>
        <w:t xml:space="preserve">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la provincia de Chiclayo alcanzó </w:t>
      </w:r>
      <w:r>
        <w:rPr>
          <w:rFonts w:ascii="Calibri" w:cs="Calibri" w:eastAsia="Calibri" w:hAnsi="Calibri"/>
          <w:b/>
          <w:bCs/>
          <w:sz w:val="24"/>
          <w:szCs w:val="24"/>
        </w:rPr>
        <w:t xml:space="preserve">882 306 habitantes en 2024</w:t>
      </w:r>
      <w:r>
        <w:rPr>
          <w:rFonts w:ascii="Calibri" w:cs="Calibri" w:eastAsia="Calibri" w:hAnsi="Calibri"/>
          <w:sz w:val="24"/>
          <w:szCs w:val="24"/>
        </w:rPr>
        <w:t xml:space="preserve"> (INEI). Chiclayo y Ferreñafe son las provincias más densamente pobladas (202,0 y 55,9 hab./km²) y Lambayeque la menos densa (23,2 hab./km²).</w:t>
      </w:r>
    </w:p>
    <w:p>
      <w:pPr>
        <w:spacing w:after="120" w:line="360"/>
        <w:jc w:val="both"/>
      </w:pPr>
      <w:r>
        <w:rPr>
          <w:rFonts w:ascii="Calibri" w:cs="Calibri" w:eastAsia="Calibri" w:hAnsi="Calibri"/>
          <w:sz w:val="24"/>
          <w:szCs w:val="24"/>
        </w:rPr>
        <w:t xml:space="preserve">Lambayeque aporta alrededor del </w:t>
      </w:r>
      <w:r>
        <w:rPr>
          <w:rFonts w:ascii="Calibri" w:cs="Calibri" w:eastAsia="Calibri" w:hAnsi="Calibri"/>
          <w:b/>
          <w:bCs/>
          <w:sz w:val="24"/>
          <w:szCs w:val="24"/>
        </w:rPr>
        <w:t xml:space="preserve">2,5 % del PBI nacional (2024)</w:t>
      </w:r>
      <w:r>
        <w:rPr>
          <w:rFonts w:ascii="Calibri" w:cs="Calibri" w:eastAsia="Calibri" w:hAnsi="Calibri"/>
          <w:sz w:val="24"/>
          <w:szCs w:val="24"/>
        </w:rPr>
        <w:t xml:space="preserve">, con un PBI per cápita de </w:t>
      </w:r>
      <w:r>
        <w:rPr>
          <w:rFonts w:ascii="Calibri" w:cs="Calibri" w:eastAsia="Calibri" w:hAnsi="Calibri"/>
          <w:b/>
          <w:bCs/>
          <w:sz w:val="24"/>
          <w:szCs w:val="24"/>
        </w:rPr>
        <w:t xml:space="preserve">S/ 9 911</w:t>
      </w:r>
      <w:r>
        <w:rPr>
          <w:rFonts w:ascii="Calibri" w:cs="Calibri" w:eastAsia="Calibri" w:hAnsi="Calibri"/>
          <w:sz w:val="24"/>
          <w:szCs w:val="24"/>
        </w:rPr>
        <w:t xml:space="preserve"> (PRODUCE). Los principales componentes de su Valor Agregado Bruto son: otros servicios (28,4 %), comercio (19,1 %), manufactura (11,0 %), agricultura (9,3 %), construcción (8,4 %) y transporte (7,8 %). De acuerdo con el BCRP, el comercio representó el 18,5 % de la actividad económica en el periodo 2015-2024, con un crecimiento promedio anual de 2,2 %; en ese periodo, Lambayeque fue el </w:t>
      </w:r>
      <w:r>
        <w:rPr>
          <w:rFonts w:ascii="Calibri" w:cs="Calibri" w:eastAsia="Calibri" w:hAnsi="Calibri"/>
          <w:b/>
          <w:bCs/>
          <w:sz w:val="24"/>
          <w:szCs w:val="24"/>
        </w:rPr>
        <w:t xml:space="preserve">tercer productor agrario nacional (12,8 %)</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La Población Económicamente Activa (PEA) regional fue de </w:t>
      </w:r>
      <w:r>
        <w:rPr>
          <w:rFonts w:ascii="Calibri" w:cs="Calibri" w:eastAsia="Calibri" w:hAnsi="Calibri"/>
          <w:b/>
          <w:bCs/>
          <w:sz w:val="24"/>
          <w:szCs w:val="24"/>
        </w:rPr>
        <w:t xml:space="preserve">721 994 personas (2022)</w:t>
      </w:r>
      <w:r>
        <w:rPr>
          <w:rFonts w:ascii="Calibri" w:cs="Calibri" w:eastAsia="Calibri" w:hAnsi="Calibri"/>
          <w:sz w:val="24"/>
          <w:szCs w:val="24"/>
        </w:rPr>
        <w:t xml:space="preserve">, con 97,9 % ocupada y </w:t>
      </w:r>
      <w:r>
        <w:rPr>
          <w:rFonts w:ascii="Calibri" w:cs="Calibri" w:eastAsia="Calibri" w:hAnsi="Calibri"/>
          <w:b/>
          <w:bCs/>
          <w:sz w:val="24"/>
          <w:szCs w:val="24"/>
        </w:rPr>
        <w:t xml:space="preserve">2,1 % desocupada</w:t>
      </w:r>
      <w:r>
        <w:rPr>
          <w:rFonts w:ascii="Calibri" w:cs="Calibri" w:eastAsia="Calibri" w:hAnsi="Calibri"/>
          <w:sz w:val="24"/>
          <w:szCs w:val="24"/>
        </w:rPr>
        <w:t xml:space="preserve">; la PEA con empleo adecuado representó el 54,4 % (MTPE). La </w:t>
      </w:r>
      <w:r>
        <w:rPr>
          <w:rFonts w:ascii="Calibri" w:cs="Calibri" w:eastAsia="Calibri" w:hAnsi="Calibri"/>
          <w:b/>
          <w:bCs/>
          <w:sz w:val="24"/>
          <w:szCs w:val="24"/>
        </w:rPr>
        <w:t xml:space="preserve">pobreza monetaria fue de 17,9 % en 2023</w:t>
      </w:r>
      <w:r>
        <w:rPr>
          <w:rFonts w:ascii="Calibri" w:cs="Calibri" w:eastAsia="Calibri" w:hAnsi="Calibri"/>
          <w:sz w:val="24"/>
          <w:szCs w:val="24"/>
        </w:rPr>
        <w:t xml:space="preserve">, una de las más bajas del país (INEI).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 Porcentaje de la PEA con estudios superiores universitarios y no universitarios (ENAHO).</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población de Lambayeque de los NSE B, C y D, de 16 a 25 años, que cursa 5.° de secundaria o tiene secundaria completa sin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16 y 25 años de edad.</w:t>
      </w:r>
    </w:p>
    <w:p>
      <w:pPr>
        <w:pStyle w:val="ListParagraph"/>
        <w:numPr>
          <w:ilvl w:val="0"/>
          <w:numId w:val="2"/>
        </w:numPr>
        <w:spacing w:after="80" w:line="360"/>
        <w:jc w:val="both"/>
      </w:pPr>
      <w:r>
        <w:rPr>
          <w:rFonts w:ascii="Calibri" w:cs="Calibri" w:eastAsia="Calibri" w:hAnsi="Calibri"/>
          <w:sz w:val="24"/>
          <w:szCs w:val="24"/>
        </w:rPr>
        <w:t xml:space="preserve">Que se encuentre cursando el 5.° de secundaria, o tenga secundaria completa, pero que no se encuentre cursando estudios superiores.</w:t>
      </w:r>
    </w:p>
    <w:p>
      <w:pPr>
        <w:keepNext/>
        <w:spacing w:after="60" w:before="160"/>
        <w:jc w:val="center"/>
      </w:pPr>
      <w:r>
        <w:rPr>
          <w:rFonts w:ascii="Calibri" w:cs="Calibri" w:eastAsia="Calibri" w:hAnsi="Calibri"/>
          <w:sz w:val="22"/>
          <w:szCs w:val="22"/>
        </w:rPr>
        <w:t xml:space="preserve">Tabla 1. Evolución de la población de los niveles socioeconómicos B, C y D de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2019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los niveles BCD en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de la población de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INEI – ENAHO; APEIM. * Proyectado.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2. Evolución de la población de 16 a 25 años en los niveles socioeconómicos B, C y D de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2019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16-25 años NSE BCD</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de la población de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INEI – ENAHO. * Proyectado.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población objetivo interesada en Farmacia y Bioquímica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Datos proyectados según encuesta de intención vocacional (por realizar). </w:t>
      </w:r>
      <w:r>
        <w:rPr>
          <w:rFonts w:ascii="Arial" w:cs="Arial" w:eastAsia="Arial" w:hAnsi="Arial"/>
          <w:b/>
          <w:bCs/>
          <w:i/>
          <w:iCs/>
          <w:sz w:val="14"/>
          <w:szCs w:val="14"/>
          <w:shd w:fill="FFFF00" w:color="auto" w:val="clear"/>
        </w:rPr>
        <w:t xml:space="preserve">[DATO PENDIENTE]</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w:t>
            </w: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portales institucionales.</w:t>
      </w:r>
    </w:p>
    <w:p>
      <w:pPr>
        <w:spacing w:after="120" w:line="360"/>
        <w:jc w:val="both"/>
      </w:pPr>
      <w:r>
        <w:rPr>
          <w:rFonts w:ascii="Calibri" w:cs="Calibri" w:eastAsia="Calibri" w:hAnsi="Calibri"/>
          <w:sz w:val="24"/>
          <w:szCs w:val="24"/>
        </w:rPr>
        <w:t xml:space="preserve">Para estimar la oferta educativa se utilizarán las estadísticas registradas en los portales de transparencia de estas universidades (Tabla 6).</w:t>
      </w:r>
    </w:p>
    <w:p>
      <w:pPr>
        <w:keepNext/>
        <w:spacing w:after="60" w:before="160"/>
        <w:jc w:val="center"/>
      </w:pPr>
      <w:r>
        <w:rPr>
          <w:rFonts w:ascii="Calibri" w:cs="Calibri" w:eastAsia="Calibri" w:hAnsi="Calibri"/>
          <w:sz w:val="22"/>
          <w:szCs w:val="22"/>
        </w:rPr>
        <w:t xml:space="preserve">Tabla 6. Ingresantes a Farmacia y Bioquímica en las universidades de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1300"/>
        <w:gridCol w:w="1300"/>
      </w:tblGrid>
      <w:tr>
        <w:trPr>
          <w:tblHeader/>
        </w:trPr>
        <w:tc>
          <w:tcPr>
            <w:tcW w:type="dxa" w:w="4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Universidad Tecnológica del Perú (UTP) – Chiclayo</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Universidad Nacional Pedro Ruiz Gallo (si corresponde)</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portal de transparencia de cada universidad; SIU-SUNEDU.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7. Brecha entre demanda y oferta educativa en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elaboración propia (Tabla 4 − Tabla 6).</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Chiclayo concentra hospitales de referencia (Hospital Regional Lambayeque, Hospital Las Mercedes y Hospital Nacional Almanzor Aguinaga Asenjo de EsSalud) que reciben pacientes derivados de Cajamarca, San Martín, Amazonas y Piura. Solo EsSalud cuenta con </w:t>
      </w:r>
      <w:r>
        <w:rPr>
          <w:rFonts w:ascii="Calibri" w:cs="Calibri" w:eastAsia="Calibri" w:hAnsi="Calibri"/>
          <w:b/>
          <w:bCs/>
          <w:sz w:val="24"/>
          <w:szCs w:val="24"/>
        </w:rPr>
        <w:t xml:space="preserve">más de 598 000 asegurados</w:t>
      </w:r>
      <w:r>
        <w:rPr>
          <w:rFonts w:ascii="Calibri" w:cs="Calibri" w:eastAsia="Calibri" w:hAnsi="Calibri"/>
          <w:sz w:val="24"/>
          <w:szCs w:val="24"/>
        </w:rPr>
        <w:t xml:space="preserve"> en la región y proyecta la construcción de tres hospitales (Almanzor Aguinaga, Naylamp y Ferreñafe); el nuevo Almanzor Aguinaga, de alta complejidad, atendería a unos 380 000 asegurados con una inversión estimada de S/ 450 a 500 millones. Cada uno de estos establecimientos requiere servicios de farmacia hospitalaria, farmacia clínica, farmacovigilancia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su reglamento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presente durante el horario de funcionamiento. En consecuencia, la expansión del comercio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sostenida: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41,8 % de la población de 15 años a más presenta al menos una comorbilidad asociada a obesidad, diabetes mellitus o hipertensión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demanda de Químicos Farmacéuticos se estima a partir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autorizados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1300"/>
        <w:gridCol w:w="1300"/>
      </w:tblGrid>
      <w:tr>
        <w:trPr>
          <w:tblHeader/>
        </w:trPr>
        <w:tc>
          <w:tcPr>
            <w:tcW w:type="dxa" w:w="4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y boticas (privadas)</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 y almacenes especializados</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DIGEMID – Boletín de establecimientos farmacéuticos (dic. 2024 y dic. 2025).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9. Demanda estimada de Químicos Farmacéuticos (directores técnicos)</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3900"/>
      </w:tblGrid>
      <w:tr>
        <w:trPr>
          <w:tblHeader/>
        </w:trPr>
        <w:tc>
          <w:tcPr>
            <w:tcW w:type="dxa" w:w="4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Fórmula / valor</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nuevos por año</w:t>
            </w:r>
          </w:p>
        </w:tc>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Variación anual de la Tabla 8</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requeridos por establecimiento</w:t>
            </w:r>
          </w:p>
        </w:tc>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1 (≥ 2 si atiende en dos turnos)</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anual de QF por nuevos establecimientos</w:t>
            </w:r>
          </w:p>
        </w:tc>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Establecimientos nuevos × QF requeridos</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Reposición (rotación, jubilación)</w:t>
            </w:r>
          </w:p>
        </w:tc>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del stock de colegiados habilitados </w:t>
            </w:r>
            <w:r>
              <w:rPr>
                <w:rFonts w:ascii="Arial" w:cs="Arial" w:eastAsia="Arial" w:hAnsi="Arial"/>
                <w:b/>
                <w:bCs/>
                <w:color w:val="000000"/>
                <w:sz w:val="15"/>
                <w:szCs w:val="15"/>
                <w:shd w:fill="FFFF00" w:color="auto" w:val="clear"/>
              </w:rPr>
              <w:t xml:space="preserve">[DATO PENDIENTE]</w:t>
            </w:r>
          </w:p>
        </w:tc>
      </w:tr>
    </w:tbl>
    <w:p>
      <w:pPr>
        <w:spacing w:after="160"/>
        <w:ind w:left="300"/>
      </w:pPr>
      <w:r>
        <w:rPr>
          <w:rFonts w:ascii="Arial" w:cs="Arial" w:eastAsia="Arial" w:hAnsi="Arial"/>
          <w:b/>
          <w:bCs/>
          <w:i/>
          <w:iCs/>
          <w:sz w:val="14"/>
          <w:szCs w:val="14"/>
        </w:rPr>
        <w:t xml:space="preserve">Fuente: elaboración propia.</w:t>
      </w:r>
    </w:p>
    <w:p>
      <w:pPr>
        <w:spacing w:after="120" w:line="360"/>
        <w:jc w:val="both"/>
      </w:pPr>
      <w:r>
        <w:rPr>
          <w:rFonts w:ascii="Calibri" w:cs="Calibri" w:eastAsia="Calibri" w:hAnsi="Calibri"/>
          <w:sz w:val="24"/>
          <w:szCs w:val="24"/>
        </w:rPr>
        <w:t xml:space="preserve">Según la Encuesta de Demanda Ocupacional del MTPE, Lambayeque requeriría </w:t>
      </w:r>
      <w:r>
        <w:rPr>
          <w:rFonts w:ascii="Calibri" w:cs="Calibri" w:eastAsia="Calibri" w:hAnsi="Calibri"/>
          <w:b/>
          <w:bCs/>
          <w:sz w:val="24"/>
          <w:szCs w:val="24"/>
        </w:rPr>
        <w:t xml:space="preserve">17 448 trabajadores para cubrir nuevos puestos en 2024</w:t>
      </w:r>
      <w:r>
        <w:rPr>
          <w:rFonts w:ascii="Calibri" w:cs="Calibri" w:eastAsia="Calibri" w:hAnsi="Calibri"/>
          <w:sz w:val="24"/>
          <w:szCs w:val="24"/>
        </w:rPr>
        <w:t xml:space="preserve">, y la carrera de Farmacia y Bioquímica figura entre las carreras técnicas más demandadas en la región. A nivel nacional, los técnicos y asistentes farmacéuticos constituyen la ocupación técnica más requerida (877 puestos)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Esta demanda técnica está ligada a la de Químicos Farmacéuticos, pues cada establecimiento que incorpora técnicos requiere un QF responsable.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 Brecha de Químicos Farmacéuticos por 10 000 habitantes (MINSA – INFORHUS).</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más de 1,3 millones de habitantes, dos tercios en la provincia de Chiclayo (882 306 en 2024), que actúa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(ENDES 2024), comorbilidades crónicas en la población adulta y brotes recurrentes de dengue, que requieren atención farmacéutica, seguimiento farmacoterapéutico y educación sanitaria.</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Salida de estudiantes: con el cese de universidades no licenciadas de Chiclayo que ofrecían la carrera, muchos jóvenes se trasladan a Trujillo o Lima; un programa local reduce ese costo para las familias de los NSE B, C y D.</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77 165 MYPE, 66,2 % dedicadas a comercio y servicios</w:t>
      </w:r>
      <w:r>
        <w:rPr>
          <w:rFonts w:ascii="Calibri" w:cs="Calibri" w:eastAsia="Calibri" w:hAnsi="Calibri"/>
          <w:sz w:val="24"/>
          <w:szCs w:val="24"/>
        </w:rPr>
        <w:t xml:space="preserve"> (PRODUCE), donde el comercio minorista de productos farmacéuticos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al control de calidad y la bioquímica de alimentos en la agroindustria;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(automedicación y resistencia antimicrobiana); control de calidad y detección de medicamentos falsificados, en articulación con la GERESA y DIGEMID; bioquímica clínica aplicada a enfermedades crónicas y metabólicas y al dengue; y bromatología aplicada a la agroexportación. La práctica preprofesional (internado en farmacia comunitaria, hospitalaria e industrial) se desarrollará mediante convenios con la GERESA Lambayeque, EsSalud, clínicas privadas, cadenas de boticas y droguerías.</w:t>
      </w:r>
    </w:p>
    <w:p>
      <w:pPr>
        <w:keepNext/>
        <w:spacing w:after="100" w:before="160" w:line="360"/>
        <w:jc w:val="both"/>
      </w:pPr>
      <w:r>
        <w:rPr>
          <w:rFonts w:ascii="Calibri" w:cs="Calibri" w:eastAsia="Calibri" w:hAnsi="Calibri"/>
          <w:b/>
          <w:bCs/>
          <w:sz w:val="24"/>
          <w:szCs w:val="24"/>
        </w:rPr>
        <w:t xml:space="preserve">6.2.5. Potencial económico y social de la región donde se ubica el programa:</w:t>
      </w:r>
    </w:p>
    <w:p>
      <w:pPr>
        <w:spacing w:after="120" w:line="360"/>
        <w:jc w:val="both"/>
      </w:pPr>
      <w:r>
        <w:rPr>
          <w:rFonts w:ascii="Calibri" w:cs="Calibri" w:eastAsia="Calibri" w:hAnsi="Calibri"/>
          <w:sz w:val="24"/>
          <w:szCs w:val="24"/>
        </w:rPr>
        <w:t xml:space="preserve">La economía lambayecana acumuló un </w:t>
      </w:r>
      <w:r>
        <w:rPr>
          <w:rFonts w:ascii="Calibri" w:cs="Calibri" w:eastAsia="Calibri" w:hAnsi="Calibri"/>
          <w:b/>
          <w:bCs/>
          <w:sz w:val="24"/>
          <w:szCs w:val="24"/>
        </w:rPr>
        <w:t xml:space="preserve">crecimiento de 11,4 % entre 2020 y 2024</w:t>
      </w:r>
      <w:r>
        <w:rPr>
          <w:rFonts w:ascii="Calibri" w:cs="Calibri" w:eastAsia="Calibri" w:hAnsi="Calibri"/>
          <w:sz w:val="24"/>
          <w:szCs w:val="24"/>
        </w:rPr>
        <w:t xml:space="preserve"> (PRODUCE) y en el cuarto trimestre de 2024 creció </w:t>
      </w:r>
      <w:r>
        <w:rPr>
          <w:rFonts w:ascii="Calibri" w:cs="Calibri" w:eastAsia="Calibri" w:hAnsi="Calibri"/>
          <w:b/>
          <w:bCs/>
          <w:sz w:val="24"/>
          <w:szCs w:val="24"/>
        </w:rPr>
        <w:t xml:space="preserve">10,3 %</w:t>
      </w:r>
      <w:r>
        <w:rPr>
          <w:rFonts w:ascii="Calibri" w:cs="Calibri" w:eastAsia="Calibri" w:hAnsi="Calibri"/>
          <w:sz w:val="24"/>
          <w:szCs w:val="24"/>
        </w:rPr>
        <w:t xml:space="preserve">, el segundo mayor crecimiento del país (INEI), impulsado por los cultivos agroindustriales y de exportación (arándano, uva, caña de azúcar) y por la construcción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A mediados de 2024, ProInversión identificó </w:t>
      </w:r>
      <w:r>
        <w:rPr>
          <w:rFonts w:ascii="Calibri" w:cs="Calibri" w:eastAsia="Calibri" w:hAnsi="Calibri"/>
          <w:b/>
          <w:bCs/>
          <w:sz w:val="24"/>
          <w:szCs w:val="24"/>
        </w:rPr>
        <w:t xml:space="preserve">31 proyectos de inversión por más de S/ 8 800 millones</w:t>
      </w:r>
      <w:r>
        <w:rPr>
          <w:rFonts w:ascii="Calibri" w:cs="Calibri" w:eastAsia="Calibri" w:hAnsi="Calibri"/>
          <w:sz w:val="24"/>
          <w:szCs w:val="24"/>
        </w:rPr>
        <w:t xml:space="preserve"> en la región (BCRP), a los que se suman los hospitales proyectados por EsSalud.</w:t>
      </w:r>
    </w:p>
    <w:p>
      <w:pPr>
        <w:spacing w:after="120" w:line="360"/>
        <w:jc w:val="both"/>
      </w:pPr>
      <w:r>
        <w:rPr>
          <w:rFonts w:ascii="Calibri" w:cs="Calibri" w:eastAsia="Calibri" w:hAnsi="Calibri"/>
          <w:sz w:val="24"/>
          <w:szCs w:val="24"/>
        </w:rPr>
        <w:t xml:space="preserve">La región presenta un considerable potencial económico y social. La implementación de un programa de Farmacia y Bioquímica puede contribuir significativamente a mejorar el acceso a medicamentos seguros y de calidad, a la formalización del comercio farmacéutico y al desarrollo de la industria regional de productos naturales y alimentos funcionales.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la oferta licenciada de Farmacia y Bioquímica se reduce a muy pocas instituciones (la UTP en Chiclayo y la UNPRG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y bioquímicos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establecimiento farmacéutico, la expansión hospitalaria de EsSalud,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(alrededor del 2,5 % del PBI nacional, crecimiento destacado en 2024, amplia base de MYPE de comercio y servicios y una cartera de inversión superior a S/ 8 800 millones).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viabilidad final depende de completar el estudio de demanda (Tablas 1-4 y 6), el conteo de establecimientos farmacéuticos de DIGEMID (Tabla 8) y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Caracterización del departamento de Lambayeque. Sucursal Piura.</w:t>
      </w:r>
    </w:p>
    <w:p>
      <w:pPr>
        <w:pStyle w:val="ListParagraph"/>
        <w:numPr>
          <w:ilvl w:val="0"/>
          <w:numId w:val="2"/>
        </w:numPr>
        <w:spacing w:after="80" w:line="360"/>
        <w:jc w:val="both"/>
      </w:pPr>
      <w:r>
        <w:rPr>
          <w:rFonts w:ascii="Calibri" w:cs="Calibri" w:eastAsia="Calibri" w:hAnsi="Calibri"/>
          <w:sz w:val="24"/>
          <w:szCs w:val="24"/>
        </w:rPr>
        <w:t xml:space="preserve">BCRP. Lambayeque: Síntesis de Actividad Económica (febrero 2024; enero 2025).</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Compendio Estadístico Lambayeque 2024; Avance Económico Departamental (marzo 2025).</w:t>
      </w:r>
    </w:p>
    <w:p>
      <w:pPr>
        <w:pStyle w:val="ListParagraph"/>
        <w:numPr>
          <w:ilvl w:val="0"/>
          <w:numId w:val="2"/>
        </w:numPr>
        <w:spacing w:after="80" w:line="360"/>
        <w:jc w:val="both"/>
      </w:pPr>
      <w:r>
        <w:rPr>
          <w:rFonts w:ascii="Calibri" w:cs="Calibri" w:eastAsia="Calibri" w:hAnsi="Calibri"/>
          <w:sz w:val="24"/>
          <w:szCs w:val="24"/>
        </w:rPr>
        <w:t xml:space="preserve">INEI (2024). Pobreza monetaria 2023.</w:t>
      </w:r>
    </w:p>
    <w:p>
      <w:pPr>
        <w:pStyle w:val="ListParagraph"/>
        <w:numPr>
          <w:ilvl w:val="0"/>
          <w:numId w:val="2"/>
        </w:numPr>
        <w:spacing w:after="80" w:line="360"/>
        <w:jc w:val="both"/>
      </w:pPr>
      <w:r>
        <w:rPr>
          <w:rFonts w:ascii="Calibri" w:cs="Calibri" w:eastAsia="Calibri" w:hAnsi="Calibri"/>
          <w:sz w:val="24"/>
          <w:szCs w:val="24"/>
        </w:rPr>
        <w:t xml:space="preserve">MTPE (2024). Demanda de ocupaciones en Lambayeque 2024;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PRODUCE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DIGEMID – MINSA. Boletín de establecimientos farmacéuticos (diciembre 2024 y diciembre 2025); Registro Nacional de Establecimientos Farmacéuticos.</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2026-09-25T00:45:00.609Z</dcterms:created>
  <dcterms:modified xsi:type="dcterms:W3CDTF">2026-09-25T00:45:00.609Z</dcterms:modified>
</cp:coreProperties>
</file>

<file path=docProps/custom.xml><?xml version="1.0" encoding="utf-8"?>
<Properties xmlns="http://schemas.openxmlformats.org/officeDocument/2006/custom-properties" xmlns:vt="http://schemas.openxmlformats.org/officeDocument/2006/docPropsVTypes"/>
</file>