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al noroeste del Perú. Se extiende en una superficie de </w:t>
      </w:r>
      <w:r>
        <w:rPr>
          <w:rFonts w:ascii="Calibri" w:cs="Calibri" w:eastAsia="Calibri" w:hAnsi="Calibri"/>
          <w:b/>
          <w:bCs/>
          <w:sz w:val="24"/>
          <w:szCs w:val="24"/>
        </w:rPr>
        <w:t xml:space="preserve">14 231 km²</w:t>
      </w:r>
      <w:r>
        <w:rPr>
          <w:rFonts w:ascii="Calibri" w:cs="Calibri" w:eastAsia="Calibri" w:hAnsi="Calibri"/>
          <w:sz w:val="24"/>
          <w:szCs w:val="24"/>
        </w:rPr>
        <w:t xml:space="preserve">, correspondiente al 1,1 % del territorio nacional.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Lambayeque y Ferreñafe) y 38 distritos</w:t>
      </w:r>
      <w:r>
        <w:rPr>
          <w:rFonts w:ascii="Calibri" w:cs="Calibri" w:eastAsia="Calibri" w:hAnsi="Calibri"/>
          <w:sz w:val="24"/>
          <w:szCs w:val="24"/>
        </w:rPr>
        <w:t xml:space="preserve">, siendo su capital la ciudad de Chiclayo (BCRP, Caracterización del departamento de Lambayeque, p. 1).</w:t>
      </w:r>
    </w:p>
    <w:p>
      <w:pPr>
        <w:spacing w:after="120" w:line="360"/>
        <w:jc w:val="both"/>
      </w:pPr>
      <w:r>
        <w:rPr>
          <w:rFonts w:ascii="Calibri" w:cs="Calibri" w:eastAsia="Calibri" w:hAnsi="Calibri"/>
          <w:sz w:val="24"/>
          <w:szCs w:val="24"/>
        </w:rPr>
        <w:t xml:space="preserve">La región cuenta con una población de </w:t>
      </w:r>
      <w:r>
        <w:rPr>
          <w:rFonts w:ascii="Calibri" w:cs="Calibri" w:eastAsia="Calibri" w:hAnsi="Calibri"/>
          <w:b/>
          <w:bCs/>
          <w:sz w:val="24"/>
          <w:szCs w:val="24"/>
        </w:rPr>
        <w:t xml:space="preserve">1 356 202 habitantes</w:t>
      </w:r>
      <w:r>
        <w:rPr>
          <w:rFonts w:ascii="Calibri" w:cs="Calibri" w:eastAsia="Calibri" w:hAnsi="Calibri"/>
          <w:sz w:val="24"/>
          <w:szCs w:val="24"/>
        </w:rPr>
        <w:t xml:space="preserve">, de los cuales el 49,4 % son hombres y el 50,6 % mujeres; la población de hasta 14 años representa el 25,8 % del total (PRODUCE, Diagnóstico Productivo Regional Lambayeque 2024, p. 2). En el Censo 2017 la región registró 1 197 mil habitantes, el 81 % en el área urbana (BCRP, p. 2-3). La provincia de Chiclayo concentra la mayor parte de la población regional (882 306 habitantes en 2024, según INEI).</w:t>
      </w:r>
    </w:p>
    <w:p>
      <w:pPr>
        <w:spacing w:after="120" w:line="360"/>
        <w:jc w:val="both"/>
      </w:pPr>
      <w:r>
        <w:rPr>
          <w:rFonts w:ascii="Calibri" w:cs="Calibri" w:eastAsia="Calibri" w:hAnsi="Calibri"/>
          <w:sz w:val="24"/>
          <w:szCs w:val="24"/>
        </w:rPr>
        <w:t xml:space="preserve">De acuerdo con el BCRP, Lambayeque creció a un promedio anual de </w:t>
      </w:r>
      <w:r>
        <w:rPr>
          <w:rFonts w:ascii="Calibri" w:cs="Calibri" w:eastAsia="Calibri" w:hAnsi="Calibri"/>
          <w:b/>
          <w:bCs/>
          <w:sz w:val="24"/>
          <w:szCs w:val="24"/>
        </w:rPr>
        <w:t xml:space="preserve">2,7 % en el periodo 2015-2024</w:t>
      </w:r>
      <w:r>
        <w:rPr>
          <w:rFonts w:ascii="Calibri" w:cs="Calibri" w:eastAsia="Calibri" w:hAnsi="Calibri"/>
          <w:sz w:val="24"/>
          <w:szCs w:val="24"/>
        </w:rPr>
        <w:t xml:space="preserve">, por encima del promedio nacional (2,3 %), y fue la octava región con mayor crecimiento de la última década. En 2024 su PBI alcanzó </w:t>
      </w:r>
      <w:r>
        <w:rPr>
          <w:rFonts w:ascii="Calibri" w:cs="Calibri" w:eastAsia="Calibri" w:hAnsi="Calibri"/>
          <w:b/>
          <w:bCs/>
          <w:sz w:val="24"/>
          <w:szCs w:val="24"/>
        </w:rPr>
        <w:t xml:space="preserve">S/ 14 065 millones</w:t>
      </w:r>
      <w:r>
        <w:rPr>
          <w:rFonts w:ascii="Calibri" w:cs="Calibri" w:eastAsia="Calibri" w:hAnsi="Calibri"/>
          <w:sz w:val="24"/>
          <w:szCs w:val="24"/>
        </w:rPr>
        <w:t xml:space="preserve">, con un crecimiento de </w:t>
      </w:r>
      <w:r>
        <w:rPr>
          <w:rFonts w:ascii="Calibri" w:cs="Calibri" w:eastAsia="Calibri" w:hAnsi="Calibri"/>
          <w:b/>
          <w:bCs/>
          <w:sz w:val="24"/>
          <w:szCs w:val="24"/>
        </w:rPr>
        <w:t xml:space="preserve">5,2 %</w:t>
      </w:r>
      <w:r>
        <w:rPr>
          <w:rFonts w:ascii="Calibri" w:cs="Calibri" w:eastAsia="Calibri" w:hAnsi="Calibri"/>
          <w:sz w:val="24"/>
          <w:szCs w:val="24"/>
        </w:rPr>
        <w:t xml:space="preserve"> respecto de 2023, y aportó el </w:t>
      </w:r>
      <w:r>
        <w:rPr>
          <w:rFonts w:ascii="Calibri" w:cs="Calibri" w:eastAsia="Calibri" w:hAnsi="Calibri"/>
          <w:b/>
          <w:bCs/>
          <w:sz w:val="24"/>
          <w:szCs w:val="24"/>
        </w:rPr>
        <w:t xml:space="preserve">2,7 % del PBI nacional</w:t>
      </w:r>
      <w:r>
        <w:rPr>
          <w:rFonts w:ascii="Calibri" w:cs="Calibri" w:eastAsia="Calibri" w:hAnsi="Calibri"/>
          <w:sz w:val="24"/>
          <w:szCs w:val="24"/>
        </w:rPr>
        <w:t xml:space="preserve">; el PBI per cápita fue de </w:t>
      </w:r>
      <w:r>
        <w:rPr>
          <w:rFonts w:ascii="Calibri" w:cs="Calibri" w:eastAsia="Calibri" w:hAnsi="Calibri"/>
          <w:b/>
          <w:bCs/>
          <w:sz w:val="24"/>
          <w:szCs w:val="24"/>
        </w:rPr>
        <w:t xml:space="preserve">S/ 10 371</w:t>
      </w:r>
      <w:r>
        <w:rPr>
          <w:rFonts w:ascii="Calibri" w:cs="Calibri" w:eastAsia="Calibri" w:hAnsi="Calibri"/>
          <w:sz w:val="24"/>
          <w:szCs w:val="24"/>
        </w:rPr>
        <w:t xml:space="preserve"> (PRODUCE, p. 1). Los principales sectores que aportan a su producción son otros servicios (28,0 %), comercio (18,5 %), agropecuario (9,7 %), manufactura (9,7 %) y construcción (8,4 %) (Tabla A).</w:t>
      </w:r>
    </w:p>
    <w:p>
      <w:pPr>
        <w:keepNext/>
        <w:spacing w:after="60" w:before="160"/>
        <w:jc w:val="center"/>
      </w:pPr>
      <w:r>
        <w:rPr>
          <w:rFonts w:ascii="Calibri" w:cs="Calibri" w:eastAsia="Calibri" w:hAnsi="Calibri"/>
          <w:sz w:val="22"/>
          <w:szCs w:val="22"/>
        </w:rPr>
        <w:t xml:space="preserve">Tabla A. Lambayeque: Valor Agregado Bruto, 2015-2024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Actividades</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Estructura porcentual promedio</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Crecimiento promedio anual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Agropecuario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6,1</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Pesca y acuicultura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Minería y petróleo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Manufactura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Electricidad y agua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5,7</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Construcción</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8,4</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0,8</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Comercio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18,5</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Transporte y 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Alojamiento y restaurantes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Telecomunicaciones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6,9</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Administración pública y defensa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3,6</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Otros servicios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Lambayeque</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w:t>
            </w:r>
          </w:p>
        </w:tc>
      </w:tr>
    </w:tbl>
    <w:p>
      <w:pPr>
        <w:spacing w:after="160"/>
        <w:ind w:left="300"/>
      </w:pPr>
      <w:r>
        <w:rPr>
          <w:rFonts w:ascii="Arial" w:cs="Arial" w:eastAsia="Arial" w:hAnsi="Arial"/>
          <w:b/>
          <w:bCs/>
          <w:i/>
          <w:iCs/>
          <w:sz w:val="14"/>
          <w:szCs w:val="14"/>
        </w:rPr>
        <w:t xml:space="preserve">Fuente: BCRP – Sucursal Piura, Caracterización del departamento de Lambayeque (2025), Cuadro N° 2, p. 4.</w:t>
      </w:r>
    </w:p>
    <w:p>
      <w:pPr>
        <w:spacing w:after="120" w:line="360"/>
        <w:jc w:val="both"/>
      </w:pPr>
      <w:r>
        <w:rPr>
          <w:rFonts w:ascii="Calibri" w:cs="Calibri" w:eastAsia="Calibri" w:hAnsi="Calibri"/>
          <w:sz w:val="24"/>
          <w:szCs w:val="24"/>
        </w:rPr>
        <w:t xml:space="preserve">En 2022, la Población en Edad de Trabajar (PET) fue de 1 031 427 personas y la </w:t>
      </w:r>
      <w:r>
        <w:rPr>
          <w:rFonts w:ascii="Calibri" w:cs="Calibri" w:eastAsia="Calibri" w:hAnsi="Calibri"/>
          <w:b/>
          <w:bCs/>
          <w:sz w:val="24"/>
          <w:szCs w:val="24"/>
        </w:rPr>
        <w:t xml:space="preserve">PEA de 721 994</w:t>
      </w:r>
      <w:r>
        <w:rPr>
          <w:rFonts w:ascii="Calibri" w:cs="Calibri" w:eastAsia="Calibri" w:hAnsi="Calibri"/>
          <w:sz w:val="24"/>
          <w:szCs w:val="24"/>
        </w:rPr>
        <w:t xml:space="preserve">, de la cual el 97,9 % estaba ocupada y el </w:t>
      </w:r>
      <w:r>
        <w:rPr>
          <w:rFonts w:ascii="Calibri" w:cs="Calibri" w:eastAsia="Calibri" w:hAnsi="Calibri"/>
          <w:b/>
          <w:bCs/>
          <w:sz w:val="24"/>
          <w:szCs w:val="24"/>
        </w:rPr>
        <w:t xml:space="preserve">2,1 % desocupada</w:t>
      </w:r>
      <w:r>
        <w:rPr>
          <w:rFonts w:ascii="Calibri" w:cs="Calibri" w:eastAsia="Calibri" w:hAnsi="Calibri"/>
          <w:sz w:val="24"/>
          <w:szCs w:val="24"/>
        </w:rPr>
        <w:t xml:space="preserve">; el empleo adecuado alcanzó al 54,4 % de los ocupados y el subempleo al 43,5 % (MTPE – OSEL Lambayeque, Tríptico N° 02-2024). Dentro de la PEA ocupada, el </w:t>
      </w:r>
      <w:r>
        <w:rPr>
          <w:rFonts w:ascii="Calibri" w:cs="Calibri" w:eastAsia="Calibri" w:hAnsi="Calibri"/>
          <w:b/>
          <w:bCs/>
          <w:sz w:val="24"/>
          <w:szCs w:val="24"/>
        </w:rPr>
        <w:t xml:space="preserve">16,6 % cuenta con estudios superiores no universitarios y solo el 13,9 % con estudios superiores universitarios</w:t>
      </w:r>
      <w:r>
        <w:rPr>
          <w:rFonts w:ascii="Calibri" w:cs="Calibri" w:eastAsia="Calibri" w:hAnsi="Calibri"/>
          <w:sz w:val="24"/>
          <w:szCs w:val="24"/>
        </w:rPr>
        <w:t xml:space="preserve">, mientras que el 46,9 % tiene secundaria y el 19,3 % primaria. Esta baja proporción de profesionales universitarios se asocia con la persistencia de problemas sanitarios y de gestión en la región.</w:t>
      </w:r>
    </w:p>
    <w:p>
      <w:pPr>
        <w:spacing w:after="120" w:line="360"/>
        <w:jc w:val="both"/>
      </w:pPr>
      <w:r>
        <w:rPr>
          <w:rFonts w:ascii="Calibri" w:cs="Calibri" w:eastAsia="Calibri" w:hAnsi="Calibri"/>
          <w:sz w:val="24"/>
          <w:szCs w:val="24"/>
        </w:rPr>
        <w:t xml:space="preserve">La </w:t>
      </w:r>
      <w:r>
        <w:rPr>
          <w:rFonts w:ascii="Calibri" w:cs="Calibri" w:eastAsia="Calibri" w:hAnsi="Calibri"/>
          <w:b/>
          <w:bCs/>
          <w:sz w:val="24"/>
          <w:szCs w:val="24"/>
        </w:rPr>
        <w:t xml:space="preserve">pobreza monetaria</w:t>
      </w:r>
      <w:r>
        <w:rPr>
          <w:rFonts w:ascii="Calibri" w:cs="Calibri" w:eastAsia="Calibri" w:hAnsi="Calibri"/>
          <w:sz w:val="24"/>
          <w:szCs w:val="24"/>
        </w:rPr>
        <w:t xml:space="preserve"> en la región es de </w:t>
      </w:r>
      <w:r>
        <w:rPr>
          <w:rFonts w:ascii="Calibri" w:cs="Calibri" w:eastAsia="Calibri" w:hAnsi="Calibri"/>
          <w:b/>
          <w:bCs/>
          <w:sz w:val="24"/>
          <w:szCs w:val="24"/>
        </w:rPr>
        <w:t xml:space="preserve">17,9 %</w:t>
      </w:r>
      <w:r>
        <w:rPr>
          <w:rFonts w:ascii="Calibri" w:cs="Calibri" w:eastAsia="Calibri" w:hAnsi="Calibri"/>
          <w:sz w:val="24"/>
          <w:szCs w:val="24"/>
        </w:rPr>
        <w:t xml:space="preserve"> y la pobreza extrema de 0,8 %; sin embargo, existen fuertes diferencias entre provincias: Chiclayo registra 17,8 %, Lambayeque 31,4 % y Ferreñafe 46,7 % (INEI, CEPLAN; en PRODUCE, p. 2).</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jóvenes de 15 a 29 años de Lambayeque de los NSE B, C y D que no se encuentran cursando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15 y 29 años de edad (definición de juventud de la Ley N.° 27802).</w:t>
      </w:r>
    </w:p>
    <w:p>
      <w:pPr>
        <w:pStyle w:val="ListParagraph"/>
        <w:numPr>
          <w:ilvl w:val="0"/>
          <w:numId w:val="2"/>
        </w:numPr>
        <w:spacing w:after="80" w:line="360"/>
        <w:jc w:val="both"/>
      </w:pPr>
      <w:r>
        <w:rPr>
          <w:rFonts w:ascii="Calibri" w:cs="Calibri" w:eastAsia="Calibri" w:hAnsi="Calibri"/>
          <w:sz w:val="24"/>
          <w:szCs w:val="24"/>
        </w:rPr>
        <w:t xml:space="preserve">Que no se encuentre cursando estudios superiores (jóvenes que solo trabajan o que no estudian ni trabajan).</w:t>
      </w:r>
    </w:p>
    <w:p>
      <w:pPr>
        <w:spacing w:after="120" w:line="360"/>
        <w:jc w:val="both"/>
      </w:pPr>
      <w:r>
        <w:rPr>
          <w:rFonts w:ascii="Calibri" w:cs="Calibri" w:eastAsia="Calibri" w:hAnsi="Calibri"/>
          <w:sz w:val="24"/>
          <w:szCs w:val="24"/>
        </w:rPr>
        <w:t xml:space="preserve">Para la estimación se utilizan fuentes oficiales y de mercado disponibles. Dado que no se cuenta aún con una encuesta propia de intención vocacional, las cifras de las Tablas 1 a 4 son </w:t>
      </w:r>
      <w:r>
        <w:rPr>
          <w:rFonts w:ascii="Calibri" w:cs="Calibri" w:eastAsia="Calibri" w:hAnsi="Calibri"/>
          <w:b/>
          <w:bCs/>
          <w:sz w:val="24"/>
          <w:szCs w:val="24"/>
        </w:rPr>
        <w:t xml:space="preserve">estimaciones referenciales</w:t>
      </w:r>
      <w:r>
        <w:rPr>
          <w:rFonts w:ascii="Calibri" w:cs="Calibri" w:eastAsia="Calibri" w:hAnsi="Calibri"/>
          <w:sz w:val="24"/>
          <w:szCs w:val="24"/>
        </w:rPr>
        <w:t xml:space="preserve"> construidas con supuestos explícitos, que deberán reemplazarse con los resultados de dicha encuesta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w:t>
      </w:r>
    </w:p>
    <w:p>
      <w:pPr>
        <w:keepNext/>
        <w:spacing w:after="60" w:before="160"/>
        <w:jc w:val="center"/>
      </w:pPr>
      <w:r>
        <w:rPr>
          <w:rFonts w:ascii="Calibri" w:cs="Calibri" w:eastAsia="Calibri" w:hAnsi="Calibri"/>
          <w:sz w:val="22"/>
          <w:szCs w:val="22"/>
        </w:rPr>
        <w:t xml:space="preserve">Tabla 1. Distribución de la población según nivel socioeconómico (APEIM 2025)</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900"/>
        <w:gridCol w:w="900"/>
        <w:gridCol w:w="900"/>
        <w:gridCol w:w="900"/>
        <w:gridCol w:w="1100"/>
      </w:tblGrid>
      <w:tr>
        <w:trPr>
          <w:tblHeader/>
        </w:trPr>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A</w:t>
            </w:r>
          </w:p>
        </w:tc>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B</w:t>
            </w:r>
          </w:p>
        </w:tc>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C</w:t>
            </w:r>
          </w:p>
        </w:tc>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D</w:t>
            </w:r>
          </w:p>
        </w:tc>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E</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w:t>
            </w:r>
          </w:p>
        </w:tc>
      </w:tr>
      <w:tr>
        <w:trPr>
          <w:cantSplit/>
        </w:trPr>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Distribución de hogares, Perú (%)</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9,4</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28,1</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31,3</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30,2</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r>
      <w:tr>
        <w:trPr>
          <w:cantSplit/>
        </w:trPr>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Aplicada a Lambayeque, 2024 (hab.)</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13 562</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127 483</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381 093</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424 491</w:t>
            </w:r>
          </w:p>
        </w:tc>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409 573</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1 356 202</w:t>
            </w:r>
          </w:p>
        </w:tc>
      </w:tr>
    </w:tbl>
    <w:p>
      <w:pPr>
        <w:spacing w:after="160"/>
        <w:ind w:left="300"/>
      </w:pPr>
      <w:r>
        <w:rPr>
          <w:rFonts w:ascii="Arial" w:cs="Arial" w:eastAsia="Arial" w:hAnsi="Arial"/>
          <w:b/>
          <w:bCs/>
          <w:i/>
          <w:iCs/>
          <w:sz w:val="14"/>
          <w:szCs w:val="14"/>
        </w:rPr>
        <w:t xml:space="preserve">Fuente: APEIM, Niveles Socioeconómicos 2025 (data ENAHO 2024), p. 17; población total, PRODUCE (2025). La síntesis de APEIM solo publica Lima Metropolitana y Perú total; se aplica la distribución nacional a Lambayeque. Actualizar con el informe completo de APEIM, que incluye el desagregado por departamento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2. Jóvenes de 15 a 29 años de Lambayeque según condición de estudio y trabajo, 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1200"/>
        <w:gridCol w:w="2400"/>
      </w:tblGrid>
      <w:tr>
        <w:trPr>
          <w:tblHeader/>
        </w:trPr>
        <w:tc>
          <w:tcPr>
            <w:tcW w:type="dxa" w:w="4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Condición</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w:t>
            </w:r>
          </w:p>
        </w:tc>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Jóvenes</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42,3</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139 875</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estudian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26,7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88 290</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Estudian y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11,4</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37 697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No estudian ni trabajan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65 097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jóvenes de 15 a 29 años</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330 674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(solo trabajan +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205 018</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en NSE B, C y D (68,8 %)</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141 052</w:t>
            </w:r>
          </w:p>
        </w:tc>
      </w:tr>
    </w:tbl>
    <w:p>
      <w:pPr>
        <w:spacing w:after="160"/>
        <w:ind w:left="300"/>
      </w:pPr>
      <w:r>
        <w:rPr>
          <w:rFonts w:ascii="Arial" w:cs="Arial" w:eastAsia="Arial" w:hAnsi="Arial"/>
          <w:b/>
          <w:bCs/>
          <w:i/>
          <w:iCs/>
          <w:sz w:val="14"/>
          <w:szCs w:val="14"/>
        </w:rPr>
        <w:t xml:space="preserve">Fuente: INEI – ENAHO 2024, en GRTPE–OSEL Lambayeque, Mercado laboral de los jóvenes en la región Lambayeque (2025), p. 56; NSE, APEIM 2025. Elaboración propia para las dos últimas filas.</w:t>
      </w:r>
    </w:p>
    <w:p>
      <w:pPr>
        <w:spacing w:after="120" w:line="360"/>
        <w:jc w:val="both"/>
      </w:pPr>
      <w:r>
        <w:rPr>
          <w:rFonts w:ascii="Calibri" w:cs="Calibri" w:eastAsia="Calibri" w:hAnsi="Calibri"/>
          <w:sz w:val="24"/>
          <w:szCs w:val="24"/>
        </w:rPr>
        <w:t xml:space="preserve">La población objetivo se aproxima con los jóvenes de 15 a 29 años que no estudian, es decir, los que solo trabajan o no estudian ni trabajan (NINI), pertenecientes a los NSE B, C y D. Este grupo corresponde al criterio de no estar cursando estudios superiores. Cabe resaltar que Lambayeque ocupa el </w:t>
      </w:r>
      <w:r>
        <w:rPr>
          <w:rFonts w:ascii="Calibri" w:cs="Calibri" w:eastAsia="Calibri" w:hAnsi="Calibri"/>
          <w:b/>
          <w:bCs/>
          <w:sz w:val="24"/>
          <w:szCs w:val="24"/>
        </w:rPr>
        <w:t xml:space="preserve">cuarto lugar nacional en proporción de jóvenes NINI (19,7 %)</w:t>
      </w:r>
      <w:r>
        <w:rPr>
          <w:rFonts w:ascii="Calibri" w:cs="Calibri" w:eastAsia="Calibri" w:hAnsi="Calibri"/>
          <w:sz w:val="24"/>
          <w:szCs w:val="24"/>
        </w:rPr>
        <w:t xml:space="preserve">, con 65 097 jóvenes en esa condición en 2024 (OSEL, 2025, pp. 54-56), lo que evidencia la necesidad de ampliar la oferta formativa pertinente.</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140 047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139 713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139 380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139 048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138 717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138 387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138 057</w:t>
            </w:r>
          </w:p>
        </w:tc>
      </w:tr>
    </w:tbl>
    <w:p>
      <w:pPr>
        <w:spacing w:after="160"/>
        <w:ind w:left="300"/>
      </w:pPr>
      <w:r>
        <w:rPr>
          <w:rFonts w:ascii="Arial" w:cs="Arial" w:eastAsia="Arial" w:hAnsi="Arial"/>
          <w:b/>
          <w:bCs/>
          <w:i/>
          <w:iCs/>
          <w:sz w:val="14"/>
          <w:szCs w:val="14"/>
        </w:rPr>
        <w:t xml:space="preserve">Fuente: elaboración propia. Proyección con la variación de la población de 15 a 29 años de Lambayeque 2024-2025 estimada por el INEI (−0,24 % anual; 309 375 a 308 638 jóvenes; SIRTOD, en OSEL 2025, p. 14).</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 (escenarios)</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Escenario de interés</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Conservador (1 %)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1 400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1 397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1 394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1 390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1 381</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Medio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2 801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2 794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2 788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2 781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2 774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2 768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2 761</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Alto (3 %)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4 201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4 191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4 181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4 171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4 162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4 152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4 142</w:t>
            </w:r>
          </w:p>
        </w:tc>
      </w:tr>
    </w:tbl>
    <w:p>
      <w:pPr>
        <w:spacing w:after="160"/>
        <w:ind w:left="300"/>
      </w:pPr>
      <w:r>
        <w:rPr>
          <w:rFonts w:ascii="Arial" w:cs="Arial" w:eastAsia="Arial" w:hAnsi="Arial"/>
          <w:b/>
          <w:bCs/>
          <w:i/>
          <w:iCs/>
          <w:sz w:val="14"/>
          <w:szCs w:val="14"/>
        </w:rPr>
        <w:t xml:space="preserve">Fuente: elaboración propia. Los escenarios se acotan con dos referencias: a nivel nacional, el 2,6 % de la población de 17 años a más que estudió o estudia educación superior no universitaria eligió carreras relacionadas con Farmacia y Bioquímica en 2018 (INEI, Indicadores de Educación por Departamentos 2008-2018, cap. 5, p. 8); y en el estudio DQE Norte 2025 de Arellano, Medicina concentra el 13 % de las preferencias y Farmacia no figura entre las cinco primeras (&lt; 6 %). Reemplazar por la tasa de interés efectivo de la encuesta propia (Anexo)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100" w:before="160" w:line="360"/>
        <w:jc w:val="both"/>
      </w:pPr>
      <w:r>
        <w:rPr>
          <w:rFonts w:ascii="Calibri" w:cs="Calibri" w:eastAsia="Calibri" w:hAnsi="Calibri"/>
          <w:b/>
          <w:bCs/>
          <w:sz w:val="24"/>
          <w:szCs w:val="24"/>
        </w:rPr>
        <w:t xml:space="preserve">5.1.1. Validación de las fuentes de mercado e interés vocacional</w:t>
      </w:r>
    </w:p>
    <w:p>
      <w:pPr>
        <w:spacing w:after="120" w:line="360"/>
        <w:jc w:val="both"/>
      </w:pPr>
      <w:r>
        <w:rPr>
          <w:rFonts w:ascii="Calibri" w:cs="Calibri" w:eastAsia="Calibri" w:hAnsi="Calibri"/>
          <w:sz w:val="24"/>
          <w:szCs w:val="24"/>
        </w:rPr>
        <w:t xml:space="preserve">Los datos sobre la preferencia vocacional y el posicionamiento institucional se sustentan en tres fuentes principales del sector educativo y laboral peruano:</w:t>
      </w:r>
    </w:p>
    <w:p>
      <w:pPr>
        <w:spacing w:after="120" w:line="360"/>
        <w:jc w:val="both"/>
      </w:pPr>
      <w:r>
        <w:rPr>
          <w:rFonts w:ascii="Calibri" w:cs="Calibri" w:eastAsia="Calibri" w:hAnsi="Calibri"/>
          <w:b/>
          <w:bCs/>
          <w:sz w:val="24"/>
          <w:szCs w:val="24"/>
        </w:rPr>
        <w:t xml:space="preserve">a) Arellano Consultoría – estudio "Dónde Quiero Estudiar (DQE) – Universidades Norte".</w:t>
      </w:r>
      <w:r>
        <w:rPr>
          <w:rFonts w:ascii="Calibri" w:cs="Calibri" w:eastAsia="Calibri" w:hAnsi="Calibri"/>
          <w:sz w:val="24"/>
          <w:szCs w:val="24"/>
        </w:rPr>
        <w:t xml:space="preserve"> Analiza las necesidades, motivaciones, expectativas, barreras y atributos que influyen en la elección de una universidad, así como indicadores de marca (recordación, consideración, preferencia, prestigio y confianza), con cobertura en Trujillo, Piura, Chiclayo y Chimbote. En la edición 2025, la UTP fue la primera opción para el 19 % de los potenciales universitarios encuestados de la zona norte, seguida por la UCV (16 %) y la UPAO (14 %); su preferencia fue especialmente relevante entre jóvenes de Piura, Lambayeque y Áncash. Entre las primeras opciones de carrera en el norte figuran Medicina (13 %), Derecho (13 %), Administración de Empresas (11 %), Ingeniería Civil (9 %) e Ingeniería de Sistemas (6 %). La encuesta consideró jóvenes de 15 a 23 años (estudiantes de cuarto y quinto de secundaria y egresados) de los NSE A, B, C y D con intención de estudiar una carrera universitaria; 1 264 casos en la zona norte (Piura, La Libertad, Lambayeque y Áncash); cuestionarios digitales estructurados aplicados mediante panel; y trabajo de campo del 23 de septiembre al 31 de octubre de 2025 (Gestión, sobre Arellano). </w:t>
      </w:r>
      <w:r>
        <w:rPr>
          <w:rFonts w:ascii="Calibri" w:cs="Calibri" w:eastAsia="Calibri" w:hAnsi="Calibri"/>
          <w:b/>
          <w:bCs/>
          <w:sz w:val="24"/>
          <w:szCs w:val="24"/>
        </w:rPr>
        <w:t xml:space="preserve">Precisiones:</w:t>
      </w:r>
      <w:r>
        <w:rPr>
          <w:rFonts w:ascii="Calibri" w:cs="Calibri" w:eastAsia="Calibri" w:hAnsi="Calibri"/>
          <w:sz w:val="24"/>
          <w:szCs w:val="24"/>
        </w:rPr>
        <w:t xml:space="preserve"> los porcentajes corresponden a la zona norte en conjunto y no a Chiclayo en particular; y las fuentes públicas no permiten atribuir la preferencia por la UTP a atributos específicos, lo que requeriría el informe completo de Arellano o su ficha técnica oficial. Estos resultados muestran que la demanda universitaria del norte es sensible a la oferta privada con posicionamiento regional, espacio en el que la USS compite como la universidad de mayor matrícula de Lambayeque.</w:t>
      </w:r>
    </w:p>
    <w:p>
      <w:pPr>
        <w:spacing w:after="120" w:line="360"/>
        <w:jc w:val="both"/>
      </w:pPr>
      <w:r>
        <w:rPr>
          <w:rFonts w:ascii="Calibri" w:cs="Calibri" w:eastAsia="Calibri" w:hAnsi="Calibri"/>
          <w:b/>
          <w:bCs/>
          <w:sz w:val="24"/>
          <w:szCs w:val="24"/>
        </w:rPr>
        <w:t xml:space="preserve">b) Oferta universitaria reciente (portales de transparencia) y portal "Mi Carrera" (MTPE).</w:t>
      </w:r>
      <w:r>
        <w:rPr>
          <w:rFonts w:ascii="Calibri" w:cs="Calibri" w:eastAsia="Calibri" w:hAnsi="Calibri"/>
          <w:sz w:val="24"/>
          <w:szCs w:val="24"/>
        </w:rPr>
        <w:t xml:space="preserve"> La UTP abrió la carrera de Farmacia y Bioquímica en 2025 y en su primer año registró </w:t>
      </w:r>
      <w:r>
        <w:rPr>
          <w:rFonts w:ascii="Calibri" w:cs="Calibri" w:eastAsia="Calibri" w:hAnsi="Calibri"/>
          <w:b/>
          <w:bCs/>
          <w:sz w:val="24"/>
          <w:szCs w:val="24"/>
        </w:rPr>
        <w:t xml:space="preserve">276 postulantes y 240 ingresantes</w:t>
      </w:r>
      <w:r>
        <w:rPr>
          <w:rFonts w:ascii="Calibri" w:cs="Calibri" w:eastAsia="Calibri" w:hAnsi="Calibri"/>
          <w:sz w:val="24"/>
          <w:szCs w:val="24"/>
        </w:rPr>
        <w:t xml:space="preserve"> a nivel nacional (201 y 186 en 2025-1; 75 y 54 en 2025-2), con </w:t>
      </w:r>
      <w:r>
        <w:rPr>
          <w:rFonts w:ascii="Calibri" w:cs="Calibri" w:eastAsia="Calibri" w:hAnsi="Calibri"/>
          <w:b/>
          <w:bCs/>
          <w:sz w:val="24"/>
          <w:szCs w:val="24"/>
        </w:rPr>
        <w:t xml:space="preserve">158 matriculados</w:t>
      </w:r>
      <w:r>
        <w:rPr>
          <w:rFonts w:ascii="Calibri" w:cs="Calibri" w:eastAsia="Calibri" w:hAnsi="Calibri"/>
          <w:sz w:val="24"/>
          <w:szCs w:val="24"/>
        </w:rPr>
        <w:t xml:space="preserve"> en 2025-I y 144 en 2025-II (UTP, Postulantes e ingresantes pregrado 2022-2025, pp. 1 y 3). Ello evidencia una demanda efectiva inmediata por la carrera. Complementariamente, el portal </w:t>
      </w:r>
      <w:r>
        <w:rPr>
          <w:rFonts w:ascii="Calibri" w:cs="Calibri" w:eastAsia="Calibri" w:hAnsi="Calibri"/>
          <w:b/>
          <w:bCs/>
          <w:sz w:val="24"/>
          <w:szCs w:val="24"/>
        </w:rPr>
        <w:t xml:space="preserve">Mi Carrera del MTPE</w:t>
      </w:r>
      <w:r>
        <w:rPr>
          <w:rFonts w:ascii="Calibri" w:cs="Calibri" w:eastAsia="Calibri" w:hAnsi="Calibri"/>
          <w:sz w:val="24"/>
          <w:szCs w:val="24"/>
        </w:rPr>
        <w:t xml:space="preserve"> ubica a </w:t>
      </w:r>
      <w:r>
        <w:rPr>
          <w:rFonts w:ascii="Calibri" w:cs="Calibri" w:eastAsia="Calibri" w:hAnsi="Calibri"/>
          <w:b/>
          <w:bCs/>
          <w:sz w:val="24"/>
          <w:szCs w:val="24"/>
        </w:rPr>
        <w:t xml:space="preserve">Farmacia en el sexto lugar entre las 30 familias de carreras universitarias más demandadas en Lambayeque</w:t>
      </w:r>
      <w:r>
        <w:rPr>
          <w:rFonts w:ascii="Calibri" w:cs="Calibri" w:eastAsia="Calibri" w:hAnsi="Calibri"/>
          <w:sz w:val="24"/>
          <w:szCs w:val="24"/>
        </w:rPr>
        <w:t xml:space="preserve">, después de Sistemas y Cómputo, Contabilidad e Impuestos, Enfermería, Educación Primaria y Educación Inicial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(registrar fecha de consulta). Las ciencias de la salud (Enfermería y Farmacia) aparecen así entre las seis familias con mayor demanda en la región.</w:t>
      </w:r>
    </w:p>
    <w:p>
      <w:pPr>
        <w:spacing w:after="120" w:line="360"/>
        <w:jc w:val="both"/>
      </w:pPr>
      <w:r>
        <w:rPr>
          <w:rFonts w:ascii="Calibri" w:cs="Calibri" w:eastAsia="Calibri" w:hAnsi="Calibri"/>
          <w:b/>
          <w:bCs/>
          <w:sz w:val="24"/>
          <w:szCs w:val="24"/>
        </w:rPr>
        <w:t xml:space="preserve">c) Observatorio Ocupacional del Ministerio de Trabajo (MTPE).</w:t>
      </w:r>
      <w:r>
        <w:rPr>
          <w:rFonts w:ascii="Calibri" w:cs="Calibri" w:eastAsia="Calibri" w:hAnsi="Calibri"/>
          <w:sz w:val="24"/>
          <w:szCs w:val="24"/>
        </w:rPr>
        <w:t xml:space="preserve"> Para Lambayeque, la Encuesta de Demanda Ocupacional 2023 ubica a </w:t>
      </w:r>
      <w:r>
        <w:rPr>
          <w:rFonts w:ascii="Calibri" w:cs="Calibri" w:eastAsia="Calibri" w:hAnsi="Calibri"/>
          <w:b/>
          <w:bCs/>
          <w:sz w:val="24"/>
          <w:szCs w:val="24"/>
        </w:rPr>
        <w:t xml:space="preserve">Farmacia y Bioquímica como la segunda carrera técnica más demandada en 2024</w:t>
      </w:r>
      <w:r>
        <w:rPr>
          <w:rFonts w:ascii="Calibri" w:cs="Calibri" w:eastAsia="Calibri" w:hAnsi="Calibri"/>
          <w:sz w:val="24"/>
          <w:szCs w:val="24"/>
        </w:rPr>
        <w:t xml:space="preserve"> (técnicos de 1 a 2 años), y a Medicina y Enfermería entre las carreras universitarias más requeridas (MTPE, Demanda de ocupaciones en Lambayeque 2024, pp. 14-15). Esto muestra una demanda sostenida de personal especializado en salud, diagnóstico y gestión de medicamentos, impulsada por la expansión de las redes hospitalarias públicas y privadas en Chiclayo.</w:t>
      </w:r>
    </w:p>
    <w:p>
      <w:pPr>
        <w:spacing w:after="120" w:line="360"/>
        <w:jc w:val="both"/>
      </w:pPr>
      <w:r>
        <w:rPr>
          <w:rFonts w:ascii="Calibri" w:cs="Calibri" w:eastAsia="Calibri" w:hAnsi="Calibri"/>
          <w:b/>
          <w:bCs/>
          <w:sz w:val="24"/>
          <w:szCs w:val="24"/>
        </w:rPr>
        <w:t xml:space="preserve">d) Estudios de orientación vocacional en Lambayeque.</w:t>
      </w:r>
      <w:r>
        <w:rPr>
          <w:rFonts w:ascii="Calibri" w:cs="Calibri" w:eastAsia="Calibri" w:hAnsi="Calibri"/>
          <w:sz w:val="24"/>
          <w:szCs w:val="24"/>
        </w:rPr>
        <w:t xml:space="preserve"> Investigaciones recientes con escolares de la región describen el proceso de elección de carrera: un cuestionario de 27 ítems diseñado y validado para estudiantes de secundaria de Lambayeque, con tres dimensiones (factores personales, de agencia o capacidad de decisión y ambientales), V de Aiken = 1,00 y alfa de Cronbach = 0,904 (Villalobos Véliz et al., 2026, Areté 12(23)); una encuesta a estudiantes de quinto de secundaria de 15 a 17 años de colegios urbanos de Lambayeque (universo de 248 estudiantes; Revista EPT, USS); una encuesta en la I.E.P. Santa Lucía de Lambayeque sobre los factores de elección profesional (Repositorio USS); y un estudio con 31 estudiantes de quinto de secundaria de Chiclayo (Repositorio UPC). Además, la Gerencia Regional de Educación implementó la plataforma "Mi Carrera en tu Cole" para estudiantes de cuarto y quinto de secundaria. Estos estudios coinciden en que la elección de carrera depende de factores personales, familiares y económicos, y en que la orientación vocacional en los colegios es limitada; sin embargo, </w:t>
      </w:r>
      <w:r>
        <w:rPr>
          <w:rFonts w:ascii="Calibri" w:cs="Calibri" w:eastAsia="Calibri" w:hAnsi="Calibri"/>
          <w:b/>
          <w:bCs/>
          <w:sz w:val="24"/>
          <w:szCs w:val="24"/>
        </w:rPr>
        <w:t xml:space="preserve">ninguno reporta el porcentaje de escolares interesados en Farmacia y Bioquímica</w:t>
      </w:r>
      <w:r>
        <w:rPr>
          <w:rFonts w:ascii="Calibri" w:cs="Calibri" w:eastAsia="Calibri" w:hAnsi="Calibri"/>
          <w:sz w:val="24"/>
          <w:szCs w:val="24"/>
        </w:rPr>
        <w:t xml:space="preserve">. Por ello, se propone aplicar una encuesta propia de intención vocacional (Anexo), basada en las dimensiones del instrumento validado, cuyo resultado reemplazará los escenarios de la Tabla 4.</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desde 2025</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Señor de Sipán (USS)</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 (programa propuesto)</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USAT, UCV y USMP (filial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Licenciadas</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ofrecen</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bl>
    <w:p>
      <w:pPr>
        <w:spacing w:after="160"/>
        <w:ind w:left="300"/>
      </w:pPr>
      <w:r>
        <w:rPr>
          <w:rFonts w:ascii="Arial" w:cs="Arial" w:eastAsia="Arial" w:hAnsi="Arial"/>
          <w:b/>
          <w:bCs/>
          <w:i/>
          <w:iCs/>
          <w:sz w:val="14"/>
          <w:szCs w:val="14"/>
        </w:rPr>
        <w:t xml:space="preserve">Fuente: SUNEDU; INEI – Compendio Estadístico Lambayeque 2024 (6 universidades licenciadas); OSEL (2025), pp. 47-50, que lista los graduados de la UNPRG por escuela profesional sin incluir Farmacia; portales institucionales.</w:t>
      </w:r>
    </w:p>
    <w:p>
      <w:pPr>
        <w:spacing w:after="120" w:line="360"/>
        <w:jc w:val="both"/>
      </w:pPr>
      <w:r>
        <w:rPr>
          <w:rFonts w:ascii="Calibri" w:cs="Calibri" w:eastAsia="Calibri" w:hAnsi="Calibri"/>
          <w:sz w:val="24"/>
          <w:szCs w:val="24"/>
        </w:rPr>
        <w:t xml:space="preserve">Para estimar la oferta educativa se utilizan las estadísticas publicadas en el portal de transparencia de la UTP, única universidad licenciada identificada con la carrera en la región (Tabla 6). La UTP reporta sus cifras consolidadas para todas sus sedes, por lo que el total nacional se toma como </w:t>
      </w:r>
      <w:r>
        <w:rPr>
          <w:rFonts w:ascii="Calibri" w:cs="Calibri" w:eastAsia="Calibri" w:hAnsi="Calibri"/>
          <w:b/>
          <w:bCs/>
          <w:sz w:val="24"/>
          <w:szCs w:val="24"/>
        </w:rPr>
        <w:t xml:space="preserve">tope superior</w:t>
      </w:r>
      <w:r>
        <w:rPr>
          <w:rFonts w:ascii="Calibri" w:cs="Calibri" w:eastAsia="Calibri" w:hAnsi="Calibri"/>
          <w:sz w:val="24"/>
          <w:szCs w:val="24"/>
        </w:rPr>
        <w:t xml:space="preserve"> de la oferta en Chiclayo.</w:t>
      </w:r>
    </w:p>
    <w:p>
      <w:pPr>
        <w:keepNext/>
        <w:spacing w:after="60" w:before="160"/>
        <w:jc w:val="center"/>
      </w:pPr>
      <w:r>
        <w:rPr>
          <w:rFonts w:ascii="Calibri" w:cs="Calibri" w:eastAsia="Calibri" w:hAnsi="Calibri"/>
          <w:sz w:val="22"/>
          <w:szCs w:val="22"/>
        </w:rPr>
        <w:t xml:space="preserve">Tabla 6. Postulantes e ingresantes a Farmacia y Bioquímica – UTP (todas las sedes), 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tblGrid>
      <w:tr>
        <w:trPr>
          <w:tblHeader/>
        </w:trPr>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2025-1</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2025-2</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 2025</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Postulantes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201</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75</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276</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Ingresantes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186</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Matriculados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r>
    </w:tbl>
    <w:p>
      <w:pPr>
        <w:spacing w:after="160"/>
        <w:ind w:left="300"/>
      </w:pPr>
      <w:r>
        <w:rPr>
          <w:rFonts w:ascii="Arial" w:cs="Arial" w:eastAsia="Arial" w:hAnsi="Arial"/>
          <w:b/>
          <w:bCs/>
          <w:i/>
          <w:iCs/>
          <w:sz w:val="14"/>
          <w:szCs w:val="14"/>
        </w:rPr>
        <w:t xml:space="preserve">Fuente: UTP, Postulantes, ingresantes, matriculados y egresados pregrado 2022-2025 (datos al 31.10.2025), pp. 1 y 3. Falta el desagregado de la sede Chiclayo </w:t>
      </w:r>
      <w:r>
        <w:rPr>
          <w:rFonts w:ascii="Arial" w:cs="Arial" w:eastAsia="Arial" w:hAnsi="Arial"/>
          <w:b/>
          <w:bCs/>
          <w:i/>
          <w:iCs/>
          <w:sz w:val="14"/>
          <w:szCs w:val="14"/>
          <w:shd w:fill="FFFF00" w:color="auto" w:val="clear"/>
        </w:rPr>
        <w:t xml:space="preserve">[DATO PENDIENTE]</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7. Brecha entre demanda y oferta educativa en Lambayeque (escenario medio)</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2 801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2 794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2 788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2 781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2 774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2 768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2 761</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 (tope)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2 561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2 554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2 548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2 541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2 534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2 528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2 521</w:t>
            </w:r>
          </w:p>
        </w:tc>
      </w:tr>
    </w:tbl>
    <w:p>
      <w:pPr>
        <w:spacing w:after="160"/>
        <w:ind w:left="300"/>
      </w:pPr>
      <w:r>
        <w:rPr>
          <w:rFonts w:ascii="Arial" w:cs="Arial" w:eastAsia="Arial" w:hAnsi="Arial"/>
          <w:b/>
          <w:bCs/>
          <w:i/>
          <w:iCs/>
          <w:sz w:val="14"/>
          <w:szCs w:val="14"/>
        </w:rPr>
        <w:t xml:space="preserve">Fuente: elaboración propia (Tabla 4 − Tabla 6). La oferta se mantiene constante en el total de ingresantes 2025 de la UTP (tope superior).</w:t>
      </w:r>
    </w:p>
    <w:p>
      <w:pPr>
        <w:spacing w:after="120" w:line="360"/>
        <w:jc w:val="both"/>
      </w:pPr>
      <w:r>
        <w:rPr>
          <w:rFonts w:ascii="Calibri" w:cs="Calibri" w:eastAsia="Calibri" w:hAnsi="Calibri"/>
          <w:sz w:val="24"/>
          <w:szCs w:val="24"/>
        </w:rPr>
        <w:t xml:space="preserve">Aun con el escenario conservador (1 % de interés) y tomando como oferta regional el total nacional de ingresantes de la UTP, para 2027 habría una brecha de alrededor de 1 160 jóvenes interesados en estudiar Farmacia y Bioquímica que no encontrarían una vacante en una universidad licenciada de la región. En el escenario medio, la brecha supera los 2 500 jóvenes por año.</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su ubicación estratégica le permite conectar los flujos económicos y poblacionales de la costa, la sierra y la selva norte (BCRP, p. 3). La región cuenta con </w:t>
      </w:r>
      <w:r>
        <w:rPr>
          <w:rFonts w:ascii="Calibri" w:cs="Calibri" w:eastAsia="Calibri" w:hAnsi="Calibri"/>
          <w:b/>
          <w:bCs/>
          <w:sz w:val="24"/>
          <w:szCs w:val="24"/>
        </w:rPr>
        <w:t xml:space="preserve">194 establecimientos de salud</w:t>
      </w:r>
      <w:r>
        <w:rPr>
          <w:rFonts w:ascii="Calibri" w:cs="Calibri" w:eastAsia="Calibri" w:hAnsi="Calibri"/>
          <w:sz w:val="24"/>
          <w:szCs w:val="24"/>
        </w:rPr>
        <w:t xml:space="preserve"> (PRODUCE, p. 2) y Chiclayo concentra hospitales de referencia (Hospital Regional Lambayeque, Hospital Las Mercedes y Hospital Nacional Almanzor Aguinaga Asenjo de EsSalud) que reciben pacientes derivados de Cajamarca, San Martín, Amazonas y Piura. EsSalud cuenta con más de 598 000 asegurados en la región y proyecta la construcción de tres hospitales (Almanzor Aguinaga, Naylamp y Ferreñafe). Cada uno de estos establecimientos requiere servicios de farmacia hospitalaria, farmacia clínica, farmacovigilancia, laboratorio clínico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el Reglamento de Establecimientos Farmacéuticos (D.S. N.° 014-2011-SA)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En consecuencia, cada nuevo establecimiento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y diagnóstico de laboratorio sostenidos: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w:t>
      </w:r>
      <w:r>
        <w:rPr>
          <w:rFonts w:ascii="Calibri" w:cs="Calibri" w:eastAsia="Calibri" w:hAnsi="Calibri"/>
          <w:b/>
          <w:bCs/>
          <w:sz w:val="24"/>
          <w:szCs w:val="24"/>
        </w:rPr>
        <w:t xml:space="preserve">41,2 % de la población de 15 años a más presenta al menos una comorbilidad</w:t>
      </w:r>
      <w:r>
        <w:rPr>
          <w:rFonts w:ascii="Calibri" w:cs="Calibri" w:eastAsia="Calibri" w:hAnsi="Calibri"/>
          <w:sz w:val="24"/>
          <w:szCs w:val="24"/>
        </w:rPr>
        <w:t xml:space="preserve"> (obesidad, diabetes mellitus y/o hipertensión), 43,5 % en el área urbana, y la </w:t>
      </w:r>
      <w:r>
        <w:rPr>
          <w:rFonts w:ascii="Calibri" w:cs="Calibri" w:eastAsia="Calibri" w:hAnsi="Calibri"/>
          <w:b/>
          <w:bCs/>
          <w:sz w:val="24"/>
          <w:szCs w:val="24"/>
        </w:rPr>
        <w:t xml:space="preserve">hipertensión arterial afecta al 21,3 %</w:t>
      </w:r>
      <w:r>
        <w:rPr>
          <w:rFonts w:ascii="Calibri" w:cs="Calibri" w:eastAsia="Calibri" w:hAnsi="Calibri"/>
          <w:sz w:val="24"/>
          <w:szCs w:val="24"/>
        </w:rPr>
        <w:t xml:space="preserve"> de ese grupo (INEI – ENDES 2024, Enfermedades No Transmisibles y Transmisibles, Lambayeque, pp. 9 y 17);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creación del programa de Farmacia y Bioquímica en Chiclayo se justifica teniendo en cuenta la demanda de Químicos Farmacéuticos derivada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Establecimientos farmacéuticos privados vigentes en Lambayeque, junio 2026</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1400"/>
        <w:gridCol w:w="1400"/>
      </w:tblGrid>
      <w:tr>
        <w:trPr>
          <w:tblHeader/>
        </w:trPr>
        <w:tc>
          <w:tcPr>
            <w:tcW w:type="dxa" w:w="4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establecimiento</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Lambayeque</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Perú</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 Lambayeque</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25 073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77</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3 655</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2,1 %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 de establecimientos de salud (clínicas)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58</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933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Droguerías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5 256</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Laboratorios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182</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35 099</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4,5 %</w:t>
            </w:r>
          </w:p>
        </w:tc>
      </w:tr>
    </w:tbl>
    <w:p>
      <w:pPr>
        <w:spacing w:after="160"/>
        <w:ind w:left="300"/>
      </w:pPr>
      <w:r>
        <w:rPr>
          <w:rFonts w:ascii="Arial" w:cs="Arial" w:eastAsia="Arial" w:hAnsi="Arial"/>
          <w:b/>
          <w:bCs/>
          <w:i/>
          <w:iCs/>
          <w:sz w:val="14"/>
          <w:szCs w:val="14"/>
        </w:rPr>
        <w:t xml:space="preserve">Fuente: DIGEMID – Boletín de Establecimientos Farmacéuticos, Año 6, Ed. 11 (junio 2026), p. 4. Lambayeque ocupa el sexto lugar nacional.</w:t>
      </w:r>
    </w:p>
    <w:p>
      <w:pPr>
        <w:spacing w:after="120" w:line="360"/>
        <w:jc w:val="both"/>
      </w:pPr>
      <w:r>
        <w:rPr>
          <w:rFonts w:ascii="Calibri" w:cs="Calibri" w:eastAsia="Calibri" w:hAnsi="Calibri"/>
          <w:sz w:val="24"/>
          <w:szCs w:val="24"/>
        </w:rPr>
        <w:t xml:space="preserve">En la evolución de las boticas y farmacias privadas, Lambayeque registró 1 903 en diciembre de 2024 (establecimientos "activos"), 1 530 en diciembre de 2025 y 1 457 en junio de 2026 (establecimientos "vigentes"; 202 de cadena y 1 255 independientes), con presencia en 36 de sus 38 distritos (DIGEMID, Ed. 8, 10 y 11). A nivel nacional, solo durante 2025 se autorizaron </w:t>
      </w:r>
      <w:r>
        <w:rPr>
          <w:rFonts w:ascii="Calibri" w:cs="Calibri" w:eastAsia="Calibri" w:hAnsi="Calibri"/>
          <w:b/>
          <w:bCs/>
          <w:sz w:val="24"/>
          <w:szCs w:val="24"/>
        </w:rPr>
        <w:t xml:space="preserve">4 982 nuevos establecimientos farmacéuticos privados</w:t>
      </w:r>
      <w:r>
        <w:rPr>
          <w:rFonts w:ascii="Calibri" w:cs="Calibri" w:eastAsia="Calibri" w:hAnsi="Calibri"/>
          <w:sz w:val="24"/>
          <w:szCs w:val="24"/>
        </w:rPr>
        <w:t xml:space="preserve"> (DIGEMID, Ed. 10, p. 2).</w:t>
      </w:r>
    </w:p>
    <w:p>
      <w:pPr>
        <w:spacing w:after="120" w:line="360"/>
        <w:jc w:val="both"/>
      </w:pPr>
      <w:r>
        <w:rPr>
          <w:rFonts w:ascii="Calibri" w:cs="Calibri" w:eastAsia="Calibri" w:hAnsi="Calibri"/>
          <w:sz w:val="24"/>
          <w:szCs w:val="24"/>
        </w:rPr>
        <w:t xml:space="preserve">Frente a esta demanda, el </w:t>
      </w:r>
      <w:r>
        <w:rPr>
          <w:rFonts w:ascii="Calibri" w:cs="Calibri" w:eastAsia="Calibri" w:hAnsi="Calibri"/>
          <w:b/>
          <w:bCs/>
          <w:sz w:val="24"/>
          <w:szCs w:val="24"/>
        </w:rPr>
        <w:t xml:space="preserve">Colegio Químico Farmacéutico Departamental de Lambayeque registra 812 colegiados</w:t>
      </w:r>
      <w:r>
        <w:rPr>
          <w:rFonts w:ascii="Calibri" w:cs="Calibri" w:eastAsia="Calibri" w:hAnsi="Calibri"/>
          <w:sz w:val="24"/>
          <w:szCs w:val="24"/>
        </w:rPr>
        <w:t xml:space="preserve">, con 167 nuevos colegiados, 50 ingresos por traslado y 82 traslados a otros departamentos en el periodo 2023-2024 (CQFD Lambayeque, Memoria de Gestión 2023-2024). Es decir, la región cuenta con </w:t>
      </w:r>
      <w:r>
        <w:rPr>
          <w:rFonts w:ascii="Calibri" w:cs="Calibri" w:eastAsia="Calibri" w:hAnsi="Calibri"/>
          <w:b/>
          <w:bCs/>
          <w:sz w:val="24"/>
          <w:szCs w:val="24"/>
        </w:rPr>
        <w:t xml:space="preserve">alrededor de 6 Químicos Farmacéuticos por cada 10 000 habitantes</w:t>
      </w:r>
      <w:r>
        <w:rPr>
          <w:rFonts w:ascii="Calibri" w:cs="Calibri" w:eastAsia="Calibri" w:hAnsi="Calibri"/>
          <w:sz w:val="24"/>
          <w:szCs w:val="24"/>
        </w:rPr>
        <w:t xml:space="preserve"> y con </w:t>
      </w:r>
      <w:r>
        <w:rPr>
          <w:rFonts w:ascii="Calibri" w:cs="Calibri" w:eastAsia="Calibri" w:hAnsi="Calibri"/>
          <w:b/>
          <w:bCs/>
          <w:sz w:val="24"/>
          <w:szCs w:val="24"/>
        </w:rPr>
        <w:t xml:space="preserve">casi dos establecimientos farmacéuticos (1 580) por cada profesional colegiado (812)</w:t>
      </w:r>
      <w:r>
        <w:rPr>
          <w:rFonts w:ascii="Calibri" w:cs="Calibri" w:eastAsia="Calibri" w:hAnsi="Calibri"/>
          <w:sz w:val="24"/>
          <w:szCs w:val="24"/>
        </w:rPr>
        <w:t xml:space="preserve">, sin considerar las plazas en hospitales, clínicas, laboratorios clínicos, industria y docencia.</w:t>
      </w:r>
    </w:p>
    <w:p>
      <w:pPr>
        <w:keepNext/>
        <w:spacing w:after="60" w:before="160"/>
        <w:jc w:val="center"/>
      </w:pPr>
      <w:r>
        <w:rPr>
          <w:rFonts w:ascii="Calibri" w:cs="Calibri" w:eastAsia="Calibri" w:hAnsi="Calibri"/>
          <w:sz w:val="22"/>
          <w:szCs w:val="22"/>
        </w:rPr>
        <w:t xml:space="preserve">Tabla 9. Brecha estimada de Químicos Farmacéuticos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100"/>
        <w:gridCol w:w="3200"/>
      </w:tblGrid>
      <w:tr>
        <w:trPr>
          <w:tblHeader/>
        </w:trPr>
        <w:tc>
          <w:tcPr>
            <w:tcW w:type="dxa" w:w="3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Establecimientos farmacéuticos privados vigentes (jun. 2026)</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Tabla 8</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directores técnicos requeridos (mínimo)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(Ley N.° 29459)</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Químicos Farmacéuticos colegiados en Lambayeque</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812</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CQFD Lambayeque, Memoria 2023-2024</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mínima (solo dirección técnica)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768</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Requeridos − colegiados</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Nuevos EE.FF. privados por año en Lambayeque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225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4 982 nacionales × 4,5 % regional</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Incremento neto anual de colegiados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167 nuevos + 50 ingresos − 82 traslados</w:t>
            </w:r>
          </w:p>
        </w:tc>
      </w:tr>
    </w:tbl>
    <w:p>
      <w:pPr>
        <w:spacing w:after="160"/>
        <w:ind w:left="300"/>
      </w:pPr>
      <w:r>
        <w:rPr>
          <w:rFonts w:ascii="Arial" w:cs="Arial" w:eastAsia="Arial" w:hAnsi="Arial"/>
          <w:b/>
          <w:bCs/>
          <w:i/>
          <w:iCs/>
          <w:sz w:val="14"/>
          <w:szCs w:val="14"/>
        </w:rPr>
        <w:t xml:space="preserve">Fuente: elaboración propia con datos de DIGEMID (2025-2026) y del CQFD Lambayeque. No incluye plazas del sector público, hospitales, laboratorios clínicos ni industria.</w:t>
      </w:r>
    </w:p>
    <w:p>
      <w:pPr>
        <w:spacing w:after="120" w:line="360"/>
        <w:jc w:val="both"/>
      </w:pPr>
      <w:r>
        <w:rPr>
          <w:rFonts w:ascii="Calibri" w:cs="Calibri" w:eastAsia="Calibri" w:hAnsi="Calibri"/>
          <w:sz w:val="24"/>
          <w:szCs w:val="24"/>
        </w:rPr>
        <w:t xml:space="preserve">Según la Encuesta de Demanda Ocupacional del MTPE, en 2024 Lambayeque demandaría </w:t>
      </w:r>
      <w:r>
        <w:rPr>
          <w:rFonts w:ascii="Calibri" w:cs="Calibri" w:eastAsia="Calibri" w:hAnsi="Calibri"/>
          <w:b/>
          <w:bCs/>
          <w:sz w:val="24"/>
          <w:szCs w:val="24"/>
        </w:rPr>
        <w:t xml:space="preserve">17 448 trabajadores para nuevos puestos</w:t>
      </w:r>
      <w:r>
        <w:rPr>
          <w:rFonts w:ascii="Calibri" w:cs="Calibri" w:eastAsia="Calibri" w:hAnsi="Calibri"/>
          <w:sz w:val="24"/>
          <w:szCs w:val="24"/>
        </w:rPr>
        <w:t xml:space="preserve">, y </w:t>
      </w:r>
      <w:r>
        <w:rPr>
          <w:rFonts w:ascii="Calibri" w:cs="Calibri" w:eastAsia="Calibri" w:hAnsi="Calibri"/>
          <w:b/>
          <w:bCs/>
          <w:sz w:val="24"/>
          <w:szCs w:val="24"/>
        </w:rPr>
        <w:t xml:space="preserve">Farmacia y Bioquímica sería la segunda carrera técnica más demandada</w:t>
      </w:r>
      <w:r>
        <w:rPr>
          <w:rFonts w:ascii="Calibri" w:cs="Calibri" w:eastAsia="Calibri" w:hAnsi="Calibri"/>
          <w:sz w:val="24"/>
          <w:szCs w:val="24"/>
        </w:rPr>
        <w:t xml:space="preserve"> en la región (MTPE, Demanda de ocupaciones en Lambayeque 2024, pp. v y 15). Para 2025, la demanda se eleva a </w:t>
      </w:r>
      <w:r>
        <w:rPr>
          <w:rFonts w:ascii="Calibri" w:cs="Calibri" w:eastAsia="Calibri" w:hAnsi="Calibri"/>
          <w:b/>
          <w:bCs/>
          <w:sz w:val="24"/>
          <w:szCs w:val="24"/>
        </w:rPr>
        <w:t xml:space="preserve">32 685 nuevos puestos de trabajo</w:t>
      </w:r>
      <w:r>
        <w:rPr>
          <w:rFonts w:ascii="Calibri" w:cs="Calibri" w:eastAsia="Calibri" w:hAnsi="Calibri"/>
          <w:sz w:val="24"/>
          <w:szCs w:val="24"/>
        </w:rPr>
        <w:t xml:space="preserve">, de los cuales el 12,3 % (4 011) requeriría profesionales universitarios (MTPE, Demanda de ocupaciones 2025; OSEL, 2025, p. 44). Como se indicó en la sección 5.1.1, el portal Mi Carrera del MTPE ubica a Farmacia en el sexto lugar entre las familias de carreras universitarias más demandadas en Lambayeque.</w:t>
      </w:r>
    </w:p>
    <w:p>
      <w:pPr>
        <w:spacing w:after="120" w:line="360"/>
        <w:jc w:val="both"/>
      </w:pPr>
      <w:r>
        <w:rPr>
          <w:rFonts w:ascii="Calibri" w:cs="Calibri" w:eastAsia="Calibri" w:hAnsi="Calibri"/>
          <w:sz w:val="24"/>
          <w:szCs w:val="24"/>
        </w:rPr>
        <w:t xml:space="preserve">De lo expuesto se observa que la mayor demanda corresponde a Químicos Farmacéuticos para la dirección técnica de establecimientos farmacéuticos: la región necesitaría al menos 768 profesionales adicionales solo para cubrir los establecimientos existentes, y cada año se abren alrededor de 225 nuevos establecimientos, frente a un incremento neto de apenas 135 colegiados. A ello se suman las plazas en hospitales, clínicas, laboratorios clínicos y agroindustria.</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1 356 202 habitantes, 81 % urbanos, con Chiclayo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41,2 % de adultos con obesidad, diabetes o hipertensión y 21,3 % con hipertensión arterial (ENDES 2024) y brotes recurrentes de dengue, que requieren atención farmacéutica, diagnóstico de laboratorio y educación sanitaria.</w:t>
      </w:r>
    </w:p>
    <w:p>
      <w:pPr>
        <w:pStyle w:val="ListParagraph"/>
        <w:numPr>
          <w:ilvl w:val="0"/>
          <w:numId w:val="2"/>
        </w:numPr>
        <w:spacing w:after="80" w:line="360"/>
        <w:jc w:val="both"/>
      </w:pPr>
      <w:r>
        <w:rPr>
          <w:rFonts w:ascii="Calibri" w:cs="Calibri" w:eastAsia="Calibri" w:hAnsi="Calibri"/>
          <w:sz w:val="24"/>
          <w:szCs w:val="24"/>
        </w:rPr>
        <w:t xml:space="preserve">Desigualdad territorial: la pobreza en Ferreñafe (46,7 %) y Lambayeque (31,4 %) supera ampliamente la de Chiclayo (17,8 %); en junio de 2026 dos distritos de la región no contaban con ninguna botica o farmacia privada (DIGEMID).</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Baja proporción de profesionales: solo el 13,9 % de la PEA ocupada tiene educación universitaria (MTPE, 2022) y la región tiene alrededor de 6 Químicos Farmacéuticos por cada 10 000 habitantes (CQFD Lambayeque).</w:t>
      </w:r>
    </w:p>
    <w:p>
      <w:pPr>
        <w:pStyle w:val="ListParagraph"/>
        <w:numPr>
          <w:ilvl w:val="0"/>
          <w:numId w:val="2"/>
        </w:numPr>
        <w:spacing w:after="80" w:line="360"/>
        <w:jc w:val="both"/>
      </w:pPr>
      <w:r>
        <w:rPr>
          <w:rFonts w:ascii="Calibri" w:cs="Calibri" w:eastAsia="Calibri" w:hAnsi="Calibri"/>
          <w:sz w:val="24"/>
          <w:szCs w:val="24"/>
        </w:rPr>
        <w:t xml:space="preserve">Jóvenes sin oportunidades: 65 097 jóvenes (19,7 %) no estudian ni trabajan, cuarto lugar nacional (OSEL, 2025); los jóvenes con educación universitaria perciben en promedio S/ 1 506 mensuales frente a S/ 1 121 de quienes solo tienen secundaria (EPEN 2024).</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79 085 MYPE, el 89,0 % dedicadas a comercio y servicios</w:t>
      </w:r>
      <w:r>
        <w:rPr>
          <w:rFonts w:ascii="Calibri" w:cs="Calibri" w:eastAsia="Calibri" w:hAnsi="Calibri"/>
          <w:sz w:val="24"/>
          <w:szCs w:val="24"/>
        </w:rPr>
        <w:t xml:space="preserve">, y el 84,0 % de ellas son informales (PRODUCE, p. 1). El comercio minorista de productos farmacéuticos, con 1 255 boticas y farmacias independientes (DIGEMID, junio 2026),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 la formalización del sector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análisis clínicos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control de calidad y detección de medicamentos falsificados, en articulación con la GERESA y DIGEMID; bioquímica clínica y molecular aplicada a enfermedades crónicas, metabólicas y tropicales; y bromatología aplicada a la agroexportación. La práctica preprofesional (internado en farmacia comunitaria, hospitalaria, clínica e industrial) se desarrollará mediante convenios con la GERESA Lambayeque, EsSalud, clínicas privadas, laboratorios, cadenas de boticas y droguerías.</w:t>
      </w:r>
    </w:p>
    <w:p>
      <w:pPr>
        <w:keepNext/>
        <w:spacing w:after="100" w:before="160" w:line="360"/>
        <w:jc w:val="both"/>
      </w:pPr>
      <w:r>
        <w:rPr>
          <w:rFonts w:ascii="Calibri" w:cs="Calibri" w:eastAsia="Calibri" w:hAnsi="Calibri"/>
          <w:b/>
          <w:bCs/>
          <w:sz w:val="24"/>
          <w:szCs w:val="24"/>
        </w:rPr>
        <w:t xml:space="preserve">6.2.5. Relación directa con la Bioquímica:</w:t>
      </w:r>
    </w:p>
    <w:p>
      <w:pPr>
        <w:spacing w:after="120" w:line="360"/>
        <w:jc w:val="both"/>
      </w:pPr>
      <w:r>
        <w:rPr>
          <w:rFonts w:ascii="Calibri" w:cs="Calibri" w:eastAsia="Calibri" w:hAnsi="Calibri"/>
          <w:sz w:val="24"/>
          <w:szCs w:val="24"/>
        </w:rPr>
        <w:t xml:space="preserve">Dentro del macrogrupo de ciencias de la salud, Farmacia y Bioquímica ocupa un nicho distinto al de Medicina o Enfermería. Mientras estas últimas se enfocan prioritariamente en el cuidado clínico directo del paciente, la orientación bioquímico-farmacéutica responde a un perfil técnico-científico e industrial. En el contexto de Chiclayo y la región Lambayeque, el componente bioquímico se vincula con la demanda del mercado en cuatro ejes clave:</w:t>
      </w:r>
    </w:p>
    <w:p>
      <w:pPr>
        <w:keepNext/>
        <w:spacing w:after="60" w:before="160"/>
        <w:jc w:val="center"/>
      </w:pPr>
      <w:r>
        <w:rPr>
          <w:rFonts w:ascii="Calibri" w:cs="Calibri" w:eastAsia="Calibri" w:hAnsi="Calibri"/>
          <w:sz w:val="22"/>
          <w:szCs w:val="22"/>
        </w:rPr>
        <w:t xml:space="preserve">Tabla 10. Ejes de demanda del componente bioquímico en Lambayeque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200"/>
      </w:tblGrid>
      <w:tr>
        <w:trPr>
          <w:tblHeader/>
        </w:trPr>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Eje</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Aplicación</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Impacto o rol en la región</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Diagnóstico analítico y biología molecular</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Diagnóstico clínico en laboratorios de análisis biológicos, inmunológicos y hematológicos (redes MINSA, EsSalud y clínicas privadas).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es centro de referencia médico para Cajamarca, Amazonas y San Martín, y concentra la toma y el procesamiento de muestras de alta complejidad.</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Biotecnología y control microbiológico agroindustrial</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microbiológico, fisicoquímico y de inocuidad en la industria alimentaria y agroexportadora del norte (Olmos, Zaña).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 calidad de insumos, evaluación de residuos químico-biológicos y análisis de agua y alimentos. Los arándanos representan el 46,5 % de las exportaciones regionales (PRODUCE, 2024).</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Toxicología y farmacovigilancia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Estudio de los efectos de sustancias químicas en organismos vivos y análisis toxicológicos forenses.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del impacto ambiental de agroquímicos y metales pesados en las cuencas del norte.</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Investigación biológica y sanitaria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Epidemiología molecular y monitoreo de enfermedades endémicas o tropicales (dengue, leptospirosis).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Técnicas bioquímicas de diagnóstico rápido y caracterización de patógenos.</w:t>
            </w:r>
          </w:p>
        </w:tc>
      </w:tr>
    </w:tbl>
    <w:p>
      <w:pPr>
        <w:spacing w:after="120"/>
      </w:pPr>
    </w:p>
    <w:p>
      <w:pPr>
        <w:spacing w:after="120" w:line="360"/>
        <w:jc w:val="both"/>
      </w:pPr>
      <w:r>
        <w:rPr>
          <w:rFonts w:ascii="Calibri" w:cs="Calibri" w:eastAsia="Calibri" w:hAnsi="Calibri"/>
          <w:sz w:val="24"/>
          <w:szCs w:val="24"/>
        </w:rPr>
        <w:t xml:space="preserve">El atractivo vocacional de la carrera radica en que la Bioquímica aporta la base científica sólida (laboratorio, investigación y desarrollo) que complementa el ejercicio farmacéutico (gestión del medicamento, dispensación y regulación sanitaria), ampliando el campo laboral más allá de la farmacia asistencial o de cadena.</w:t>
      </w:r>
    </w:p>
    <w:p>
      <w:pPr>
        <w:keepNext/>
        <w:spacing w:after="100" w:before="160" w:line="360"/>
        <w:jc w:val="both"/>
      </w:pPr>
      <w:r>
        <w:rPr>
          <w:rFonts w:ascii="Calibri" w:cs="Calibri" w:eastAsia="Calibri" w:hAnsi="Calibri"/>
          <w:b/>
          <w:bCs/>
          <w:sz w:val="24"/>
          <w:szCs w:val="24"/>
        </w:rPr>
        <w:t xml:space="preserve">6.2.6. Potencial económico y social de la región donde se ubica el programa:</w:t>
      </w:r>
    </w:p>
    <w:p>
      <w:pPr>
        <w:spacing w:after="120" w:line="360"/>
        <w:jc w:val="both"/>
      </w:pPr>
      <w:r>
        <w:rPr>
          <w:rFonts w:ascii="Calibri" w:cs="Calibri" w:eastAsia="Calibri" w:hAnsi="Calibri"/>
          <w:sz w:val="24"/>
          <w:szCs w:val="24"/>
        </w:rPr>
        <w:t xml:space="preserve">De acuerdo con el BCRP, Lambayeque creció a un promedio anual de 2,7 % en 2015-2024, principalmente por los sectores agropecuario y telecomunicaciones. En 2024 su PBI creció 5,2 % y sus exportaciones aumentaron 13,7 %, lideradas por arándanos (46,5 %), café sin tostar (10,8 %), paltas (10,2 %) y uvas (6,8 %) (PRODUCE, p. 1). En enero de 2025, la actividad mantuvo su dinamismo: el sector agropecuario creció 6,2 %, la construcción 12,7 %, las exportaciones 33,6 % y la inversión pública 61,0 % (BCRP, Síntesis de Actividad Económica, enero 2025, p. 3).</w:t>
      </w:r>
    </w:p>
    <w:p>
      <w:pPr>
        <w:spacing w:after="120" w:line="360"/>
        <w:jc w:val="both"/>
      </w:pPr>
      <w:r>
        <w:rPr>
          <w:rFonts w:ascii="Calibri" w:cs="Calibri" w:eastAsia="Calibri" w:hAnsi="Calibri"/>
          <w:sz w:val="24"/>
          <w:szCs w:val="24"/>
        </w:rPr>
        <w:t xml:space="preserve">A mediados de 2024, ProInversión identificó </w:t>
      </w:r>
      <w:r>
        <w:rPr>
          <w:rFonts w:ascii="Calibri" w:cs="Calibri" w:eastAsia="Calibri" w:hAnsi="Calibri"/>
          <w:b/>
          <w:bCs/>
          <w:sz w:val="24"/>
          <w:szCs w:val="24"/>
        </w:rPr>
        <w:t xml:space="preserve">31 proyectos en la región por más de S/ 8 800 millones</w:t>
      </w:r>
      <w:r>
        <w:rPr>
          <w:rFonts w:ascii="Calibri" w:cs="Calibri" w:eastAsia="Calibri" w:hAnsi="Calibri"/>
          <w:sz w:val="24"/>
          <w:szCs w:val="24"/>
        </w:rPr>
        <w:t xml:space="preserve">, orientados a transporte, energía, </w:t>
      </w:r>
      <w:r>
        <w:rPr>
          <w:rFonts w:ascii="Calibri" w:cs="Calibri" w:eastAsia="Calibri" w:hAnsi="Calibri"/>
          <w:b/>
          <w:bCs/>
          <w:sz w:val="24"/>
          <w:szCs w:val="24"/>
        </w:rPr>
        <w:t xml:space="preserve">salud</w:t>
      </w:r>
      <w:r>
        <w:rPr>
          <w:rFonts w:ascii="Calibri" w:cs="Calibri" w:eastAsia="Calibri" w:hAnsi="Calibri"/>
          <w:sz w:val="24"/>
          <w:szCs w:val="24"/>
        </w:rPr>
        <w:t xml:space="preserve">, irrigación, vivienda e industria, entre ellos el parque industrial de Reque, de aproximadamente 3 000 hectáreas (BCRP, Caracterización, p. 11). La implementación de un programa de Farmacia y Bioquímica puede contribuir significativamente a mejorar el acceso a medicamentos seguros y de calidad, a la formalización del comercio farmacéutico y al desarrollo de la agroindustria y la industria regional de productos naturales.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existen 6 universidades licenciadas (UNPRG, USAT, USS, UCV, UTP y USMP) con más de 125 programas de estudio y 96 355 matriculados en 2023; la </w:t>
      </w:r>
      <w:r>
        <w:rPr>
          <w:rFonts w:ascii="Calibri" w:cs="Calibri" w:eastAsia="Calibri" w:hAnsi="Calibri"/>
          <w:b/>
          <w:bCs/>
          <w:sz w:val="24"/>
          <w:szCs w:val="24"/>
        </w:rPr>
        <w:t xml:space="preserve">USS es la universidad con mayor matrícula de la región (37 517 estudiantes en 2023)</w:t>
      </w:r>
      <w:r>
        <w:rPr>
          <w:rFonts w:ascii="Calibri" w:cs="Calibri" w:eastAsia="Calibri" w:hAnsi="Calibri"/>
          <w:sz w:val="24"/>
          <w:szCs w:val="24"/>
        </w:rPr>
        <w:t xml:space="preserve"> (INEI, Compendio Estadístico Lambayeque 2024, en OSEL 2025, pp. 47-49). La única universidad licenciada identificada con Farmacia y Bioquímica es la UTP en Chiclayo, que abrió la carrera recién en 2025 (240 ingresantes en todas sus sedes); la UNPRG no la ofrece. Las universidades que ofrecían la carrera sin licencia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análisis clínicos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biología molecular,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 control microbiológico e inocuidad</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 y agroexportación</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inmunológicos, hematológicos y de biología molecular</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Toxicólogo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toxicológicos, forenses y ambientales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forenses, ambientales y agroindustriales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uno de los 1 580 establecimientos farmacéuticos privados de la región, frente a solo 812 profesionales colegiados (y cerca de 225 establecimientos nuevos por año), la expansión hospitalaria de EsSalud, la demanda de diagnóstico analítico y control agroindustrial, la carga de enfermedad regional y el comercio ilegal de medicamentos generan una demanda estructural de estos profesionales, mientras que la oferta licenciada en la región es muy reducida tras el cese de universidades no licenciadas de Chiclayo.</w:t>
      </w:r>
    </w:p>
    <w:p>
      <w:pPr>
        <w:spacing w:after="120" w:line="360"/>
        <w:jc w:val="both"/>
      </w:pPr>
      <w:r>
        <w:rPr>
          <w:rFonts w:ascii="Calibri" w:cs="Calibri" w:eastAsia="Calibri" w:hAnsi="Calibri"/>
          <w:sz w:val="24"/>
          <w:szCs w:val="24"/>
        </w:rPr>
        <w:t xml:space="preserve">Lambayeque presenta un entorno económico favorable: aporta el 2,7 % del PBI nacional, creció 5,2 % en 2024, cuenta con 79 085 MYPE (89 % en comercio y servicios) y una cartera de inversión superior a S/ 8 800 millones que incluye proyectos de salud.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estimación referencial de demanda muestra una brecha de entre 1 100 y 4 000 jóvenes por año según el escenario (Tablas 4 y 7). La viabilidad final depende de validar esa estimación con una encuesta propia de intención vocacional y de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ANEXO. ENCUESTA DE INTENCIÓN VOCACIONAL</w:t>
      </w:r>
    </w:p>
    <w:p>
      <w:pPr>
        <w:spacing w:after="120" w:line="360"/>
        <w:jc w:val="both"/>
      </w:pPr>
      <w:r>
        <w:rPr>
          <w:rFonts w:ascii="Calibri" w:cs="Calibri" w:eastAsia="Calibri" w:hAnsi="Calibri"/>
          <w:sz w:val="24"/>
          <w:szCs w:val="24"/>
        </w:rPr>
        <w:t xml:space="preserve">Para validar la demanda educativa se propone aplicar una encuesta a estudiantes de 4.° y 5.° de secundaria de la región (documento anexo: Encuesta_Intencion_Vocacional_Farmacia_Lambayeque.docx). Sus características principales son:</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rPr>
          <w:tblHeader/>
        </w:trPr>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Elemento</w:t>
            </w:r>
          </w:p>
        </w:tc>
        <w:tc>
          <w:tcPr>
            <w:tcW w:type="dxa" w:w="6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Muestra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384 estudiantes (95 % de confianza, ±5 % de error), más 10 % por no respuesta: 423 encuestas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Distribución por provincia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259, Lambayeque 97 y Ferreñafe 28 (proporcional a la población joven, Censo 2017)</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Contenido</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17 preguntas: datos generales, planes después del colegio, carrera de interés, interés en Farmacia y Bioquímica, factores personales, de agencia y ambientales, y condiciones económicas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Indicador clave</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Tasa de interés efectivo = % "Definitivamente sí" + 0,5 × % "Probablemente sí" (pregunta 9), que se aplicará a la población objetivo de la Tabla 3</w:t>
            </w:r>
          </w:p>
        </w:tc>
      </w:tr>
    </w:tbl>
    <w:p>
      <w:pPr>
        <w:spacing w:after="120"/>
      </w:pP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 Sucursal Piura (2025). Caracterización del departamento de Lambayeque.</w:t>
      </w:r>
    </w:p>
    <w:p>
      <w:pPr>
        <w:pStyle w:val="ListParagraph"/>
        <w:numPr>
          <w:ilvl w:val="0"/>
          <w:numId w:val="2"/>
        </w:numPr>
        <w:spacing w:after="80" w:line="360"/>
        <w:jc w:val="both"/>
      </w:pPr>
      <w:r>
        <w:rPr>
          <w:rFonts w:ascii="Calibri" w:cs="Calibri" w:eastAsia="Calibri" w:hAnsi="Calibri"/>
          <w:sz w:val="24"/>
          <w:szCs w:val="24"/>
        </w:rPr>
        <w:t xml:space="preserve">BCRP – Sucursal Piura (2025). Lambayeque: Síntesis de Actividad Económica, enero 2025.</w:t>
      </w:r>
    </w:p>
    <w:p>
      <w:pPr>
        <w:pStyle w:val="ListParagraph"/>
        <w:numPr>
          <w:ilvl w:val="0"/>
          <w:numId w:val="2"/>
        </w:numPr>
        <w:spacing w:after="80" w:line="360"/>
        <w:jc w:val="both"/>
      </w:pPr>
      <w:r>
        <w:rPr>
          <w:rFonts w:ascii="Calibri" w:cs="Calibri" w:eastAsia="Calibri" w:hAnsi="Calibri"/>
          <w:sz w:val="24"/>
          <w:szCs w:val="24"/>
        </w:rPr>
        <w:t xml:space="preserve">DIGEMID – MINSA (2024). Boletín de Establecimientos Farmacéuticos, Año 5, Edición 8 (diciembre 2024).</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5, Edición 10 (diciembre 2025).</w:t>
      </w:r>
    </w:p>
    <w:p>
      <w:pPr>
        <w:pStyle w:val="ListParagraph"/>
        <w:numPr>
          <w:ilvl w:val="0"/>
          <w:numId w:val="2"/>
        </w:numPr>
        <w:spacing w:after="80" w:line="360"/>
        <w:jc w:val="both"/>
      </w:pPr>
      <w:r>
        <w:rPr>
          <w:rFonts w:ascii="Calibri" w:cs="Calibri" w:eastAsia="Calibri" w:hAnsi="Calibri"/>
          <w:sz w:val="24"/>
          <w:szCs w:val="24"/>
        </w:rPr>
        <w:t xml:space="preserve">PRODUCE – OGEIEE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MTPE – GRTPE Lambayeque, OSEL (2024). Tríptico N° 02: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MTPE – DGPE (2024). Demanda de ocupaciones en Lambayeque 2024 (Encuesta de Demanda Ocupacional 2023).</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(2025). ENDES 2024 – Lambayeque: Enfermedades No Transmisibles y Transmisibles.</w:t>
      </w:r>
    </w:p>
    <w:p>
      <w:pPr>
        <w:pStyle w:val="ListParagraph"/>
        <w:numPr>
          <w:ilvl w:val="0"/>
          <w:numId w:val="2"/>
        </w:numPr>
        <w:spacing w:after="80" w:line="360"/>
        <w:jc w:val="both"/>
      </w:pPr>
      <w:r>
        <w:rPr>
          <w:rFonts w:ascii="Calibri" w:cs="Calibri" w:eastAsia="Calibri" w:hAnsi="Calibri"/>
          <w:sz w:val="24"/>
          <w:szCs w:val="24"/>
        </w:rPr>
        <w:t xml:space="preserve">UTP (2025). Postulantes, ingresantes, matriculados y egresados pregrado 2022-2025 (datos al 31.10.2025).</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6, Edición 11 (junio 2026).</w:t>
      </w:r>
    </w:p>
    <w:p>
      <w:pPr>
        <w:pStyle w:val="ListParagraph"/>
        <w:numPr>
          <w:ilvl w:val="0"/>
          <w:numId w:val="2"/>
        </w:numPr>
        <w:spacing w:after="80" w:line="360"/>
        <w:jc w:val="both"/>
      </w:pPr>
      <w:r>
        <w:rPr>
          <w:rFonts w:ascii="Calibri" w:cs="Calibri" w:eastAsia="Calibri" w:hAnsi="Calibri"/>
          <w:sz w:val="24"/>
          <w:szCs w:val="24"/>
        </w:rPr>
        <w:t xml:space="preserve">GRTPE Lambayeque – OSEL (2025). Estudio N° 01: Mercado laboral de los jóvenes en la región Lambayeque.</w:t>
      </w:r>
    </w:p>
    <w:p>
      <w:pPr>
        <w:pStyle w:val="ListParagraph"/>
        <w:numPr>
          <w:ilvl w:val="0"/>
          <w:numId w:val="2"/>
        </w:numPr>
        <w:spacing w:after="80" w:line="360"/>
        <w:jc w:val="both"/>
      </w:pPr>
      <w:r>
        <w:rPr>
          <w:rFonts w:ascii="Calibri" w:cs="Calibri" w:eastAsia="Calibri" w:hAnsi="Calibri"/>
          <w:sz w:val="24"/>
          <w:szCs w:val="24"/>
        </w:rPr>
        <w:t xml:space="preserve">MTPE (2025). Demanda de ocupaciones 2025 (Encuesta de Demanda Ocupacional 2024).</w:t>
      </w:r>
    </w:p>
    <w:p>
      <w:pPr>
        <w:pStyle w:val="ListParagraph"/>
        <w:numPr>
          <w:ilvl w:val="0"/>
          <w:numId w:val="2"/>
        </w:numPr>
        <w:spacing w:after="80" w:line="360"/>
        <w:jc w:val="both"/>
      </w:pPr>
      <w:r>
        <w:rPr>
          <w:rFonts w:ascii="Calibri" w:cs="Calibri" w:eastAsia="Calibri" w:hAnsi="Calibri"/>
          <w:sz w:val="24"/>
          <w:szCs w:val="24"/>
        </w:rPr>
        <w:t xml:space="preserve">MTPE. Portal Mi Carrera – Carreras más demandadas (Lambayeque, universidad). micarrera.trabajo.gob.pe.</w:t>
      </w:r>
    </w:p>
    <w:p>
      <w:pPr>
        <w:pStyle w:val="ListParagraph"/>
        <w:numPr>
          <w:ilvl w:val="0"/>
          <w:numId w:val="2"/>
        </w:numPr>
        <w:spacing w:after="80" w:line="360"/>
        <w:jc w:val="both"/>
      </w:pPr>
      <w:r>
        <w:rPr>
          <w:rFonts w:ascii="Calibri" w:cs="Calibri" w:eastAsia="Calibri" w:hAnsi="Calibri"/>
          <w:sz w:val="24"/>
          <w:szCs w:val="24"/>
        </w:rPr>
        <w:t xml:space="preserve">Colegio Químico Farmacéutico Departamental de Lambayeque. Memoria de Gestión, Consejo Directivo 2023-2024.</w:t>
      </w:r>
    </w:p>
    <w:p>
      <w:pPr>
        <w:pStyle w:val="ListParagraph"/>
        <w:numPr>
          <w:ilvl w:val="0"/>
          <w:numId w:val="2"/>
        </w:numPr>
        <w:spacing w:after="80" w:line="360"/>
        <w:jc w:val="both"/>
      </w:pPr>
      <w:r>
        <w:rPr>
          <w:rFonts w:ascii="Calibri" w:cs="Calibri" w:eastAsia="Calibri" w:hAnsi="Calibri"/>
          <w:sz w:val="24"/>
          <w:szCs w:val="24"/>
        </w:rPr>
        <w:t xml:space="preserve">INEI (2019). Perú: Indicadores de Educación por Departamentos, 2008-2018. Capítulo 5: Profesiones o carreras universitarias.</w:t>
      </w:r>
    </w:p>
    <w:p>
      <w:pPr>
        <w:pStyle w:val="ListParagraph"/>
        <w:numPr>
          <w:ilvl w:val="0"/>
          <w:numId w:val="2"/>
        </w:numPr>
        <w:spacing w:after="80" w:line="360"/>
        <w:jc w:val="both"/>
      </w:pPr>
      <w:r>
        <w:rPr>
          <w:rFonts w:ascii="Calibri" w:cs="Calibri" w:eastAsia="Calibri" w:hAnsi="Calibri"/>
          <w:sz w:val="24"/>
          <w:szCs w:val="24"/>
        </w:rPr>
        <w:t xml:space="preserve">Villalobos Véliz, L. del C., Hernández Fernández, B., et al. (2026). Orientación vocacional en escolares: diseño y validación de un instrumento diagnóstico. Areté, Revista Digital del Doctorado en Educación, 12(23).</w:t>
      </w:r>
    </w:p>
    <w:p>
      <w:pPr>
        <w:pStyle w:val="ListParagraph"/>
        <w:numPr>
          <w:ilvl w:val="0"/>
          <w:numId w:val="2"/>
        </w:numPr>
        <w:spacing w:after="80" w:line="360"/>
        <w:jc w:val="both"/>
      </w:pPr>
      <w:r>
        <w:rPr>
          <w:rFonts w:ascii="Calibri" w:cs="Calibri" w:eastAsia="Calibri" w:hAnsi="Calibri"/>
          <w:sz w:val="24"/>
          <w:szCs w:val="24"/>
        </w:rPr>
        <w:t xml:space="preserve">Gerencia Regional de Educación Lambayeque. Plataforma "Mi Carrera en tu Cole".</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Arellano Consultoría (2025). Dónde Quiero Estudiar (DQE) – Universidades Norte. arellano.pe/donde-quiero-estudiar.</w:t>
      </w:r>
    </w:p>
    <w:p>
      <w:pPr>
        <w:pStyle w:val="ListParagraph"/>
        <w:numPr>
          <w:ilvl w:val="0"/>
          <w:numId w:val="2"/>
        </w:numPr>
        <w:spacing w:after="80" w:line="360"/>
        <w:jc w:val="both"/>
      </w:pPr>
      <w:r>
        <w:rPr>
          <w:rFonts w:ascii="Calibri" w:cs="Calibri" w:eastAsia="Calibri" w:hAnsi="Calibri"/>
          <w:sz w:val="24"/>
          <w:szCs w:val="24"/>
        </w:rPr>
        <w:t xml:space="preserve">Gestión (2025). UTP y UCV se pelean alumnado en el norte: así ciudades se reparten las preferencias.</w:t>
      </w:r>
    </w:p>
    <w:p>
      <w:pPr>
        <w:pStyle w:val="ListParagraph"/>
        <w:numPr>
          <w:ilvl w:val="0"/>
          <w:numId w:val="2"/>
        </w:numPr>
        <w:spacing w:after="80" w:line="360"/>
        <w:jc w:val="both"/>
      </w:pPr>
      <w:r>
        <w:rPr>
          <w:rFonts w:ascii="Calibri" w:cs="Calibri" w:eastAsia="Calibri" w:hAnsi="Calibri"/>
          <w:sz w:val="24"/>
          <w:szCs w:val="24"/>
        </w:rPr>
        <w:t xml:space="preserve">APEIM (2025). Niveles Socioeconómicos 2025 (data ENAHO 2024). Lima, noviembre 2025.</w:t>
      </w:r>
    </w:p>
    <w:p>
      <w:pPr>
        <w:pStyle w:val="ListParagraph"/>
        <w:numPr>
          <w:ilvl w:val="0"/>
          <w:numId w:val="2"/>
        </w:numPr>
        <w:spacing w:after="80" w:line="360"/>
        <w:jc w:val="both"/>
      </w:pPr>
      <w:r>
        <w:rPr>
          <w:rFonts w:ascii="Calibri" w:cs="Calibri" w:eastAsia="Calibri" w:hAnsi="Calibri"/>
          <w:sz w:val="24"/>
          <w:szCs w:val="24"/>
        </w:rPr>
        <w:t xml:space="preserve">MTPE/MINEDU. Portal "Ponte en Carrera".</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2026-09-26T05:00:28.702Z</dcterms:created>
  <dcterms:modified xsi:type="dcterms:W3CDTF">2026-09-26T05:00:28.702Z</dcterms:modified>
</cp:coreProperties>
</file>

<file path=docProps/custom.xml><?xml version="1.0" encoding="utf-8"?>
<Properties xmlns="http://schemas.openxmlformats.org/officeDocument/2006/custom-properties" xmlns:vt="http://schemas.openxmlformats.org/officeDocument/2006/docPropsVTypes"/>
</file>