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5743575">
            <wp:simplePos x="0" y="0"/>
            <wp:positionH relativeFrom="page">
              <wp:posOffset>0</wp:posOffset>
            </wp:positionH>
            <wp:positionV relativeFrom="page">
              <wp:posOffset>1445000</wp:posOffset>
            </wp:positionV>
            <wp:extent cx="7562850" cy="5743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5743575"/>
                    </a:xfrm>
                    <a:prstGeom prst="rect">
                      <a:avLst/>
                    </a:prstGeom>
                  </pic:spPr>
                </pic:pic>
              </a:graphicData>
            </a:graphic>
          </wp:anchor>
        </w:drawing>
      </w:r>
    </w:p>
    <w:p>
      <w:pPr>
        <w:spacing w:before="500"/>
      </w:pP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4700"/>
      </w:tblGrid>
      <w:tr>
        <w:trPr>
          <w:trHeight w:val="9300" w:hRule="exact"/>
        </w:trPr>
        <w:tc>
          <w:tcPr>
            <w:tcW w:type="dxa" w:w="4700"/>
            <w:tcBorders>
              <w:top w:val="none" w:color="FFFFFF" w:sz="0"/>
              <w:left w:val="none" w:color="FFFFFF" w:sz="0"/>
              <w:bottom w:val="none" w:color="FFFFFF" w:sz="0"/>
              <w:right w:val="none" w:color="FFFFFF" w:sz="0"/>
            </w:tcBorders>
            <w:shd w:fill="FFFFFF" w:color="auto" w:val="clear"/>
            <w:tcMar>
              <w:top w:type="dxa" w:w="400"/>
              <w:left w:type="dxa" w:w="500"/>
              <w:right w:type="dxa" w:w="300"/>
            </w:tcMar>
          </w:tcPr>
          <w:p>
            <w:pPr>
              <w:spacing w:after="60"/>
            </w:pPr>
            <w:r>
              <w:rPr>
                <w:rFonts w:ascii="Calibri" w:cs="Calibri" w:eastAsia="Calibri" w:hAnsi="Calibri"/>
                <w:b/>
                <w:bCs/>
                <w:color w:val="44546A"/>
                <w:sz w:val="44"/>
                <w:szCs w:val="44"/>
              </w:rPr>
              <w:t xml:space="preserve">INFORME DE</w:t>
            </w:r>
          </w:p>
          <w:p>
            <w:pPr>
              <w:spacing w:after="60"/>
            </w:pPr>
            <w:r>
              <w:rPr>
                <w:rFonts w:ascii="Calibri" w:cs="Calibri" w:eastAsia="Calibri" w:hAnsi="Calibri"/>
                <w:b/>
                <w:bCs/>
                <w:color w:val="44546A"/>
                <w:sz w:val="44"/>
                <w:szCs w:val="44"/>
              </w:rPr>
              <w:t xml:space="preserve">PERTINENCIA</w:t>
            </w:r>
          </w:p>
          <w:p>
            <w:pPr>
              <w:spacing w:after="60"/>
            </w:pPr>
            <w:r>
              <w:rPr>
                <w:rFonts w:ascii="Calibri" w:cs="Calibri" w:eastAsia="Calibri" w:hAnsi="Calibri"/>
                <w:b/>
                <w:bCs/>
                <w:color w:val="44546A"/>
                <w:sz w:val="44"/>
                <w:szCs w:val="44"/>
              </w:rPr>
              <w:t xml:space="preserve">SEDE CHICLAYO</w:t>
            </w:r>
          </w:p>
          <w:p>
            <w:pPr>
              <w:spacing w:after="0" w:before="700"/>
            </w:pPr>
            <w:r>
              <w:rPr>
                <w:rFonts w:ascii="Arial" w:cs="Arial" w:eastAsia="Arial" w:hAnsi="Arial"/>
                <w:b/>
                <w:bCs/>
                <w:color w:val="44546A"/>
                <w:sz w:val="26"/>
                <w:szCs w:val="26"/>
              </w:rPr>
              <w:t xml:space="preserve">Farmacia y Bioquímica</w:t>
            </w:r>
          </w:p>
          <w:p>
            <w:pPr>
              <w:spacing w:before="3600"/>
            </w:pPr>
            <w:r>
              <w:rPr>
                <w:rFonts w:ascii="Calibri" w:cs="Calibri" w:eastAsia="Calibri" w:hAnsi="Calibri"/>
                <w:b/>
                <w:bCs/>
                <w:color w:val="44546A"/>
                <w:sz w:val="20"/>
                <w:szCs w:val="20"/>
              </w:rPr>
              <w:t xml:space="preserve">Septiembre 2026</w:t>
            </w:r>
          </w:p>
          <w:p>
            <w:pPr>
              <w:spacing w:before="300"/>
            </w:pPr>
            <w:r>
              <w:rPr>
                <w:rFonts w:ascii="Calibri" w:cs="Calibri" w:eastAsia="Calibri" w:hAnsi="Calibri"/>
                <w:b/>
                <w:bCs/>
                <w:color w:val="44546A"/>
                <w:sz w:val="20"/>
                <w:szCs w:val="20"/>
              </w:rPr>
              <w:t xml:space="preserve">Elaborado por: Programa Académico de Farmacia y Bioquímica</w:t>
            </w:r>
          </w:p>
        </w:tc>
      </w:tr>
    </w:tbl>
    <w:p>
      <w:pPr>
        <w:spacing w:before="900"/>
        <w:jc w:val="right"/>
      </w:pPr>
      <w:r>
        <w:drawing>
          <wp:inline distT="0" distB="0" distL="0" distR="0">
            <wp:extent cx="1809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457200"/>
                    </a:xfrm>
                    <a:prstGeom prst="rect">
                      <a:avLst/>
                    </a:prstGeom>
                  </pic:spPr>
                </pic:pic>
              </a:graphicData>
            </a:graphic>
          </wp:inline>
        </w:drawing>
      </w:r>
    </w:p>
    <w:p>
      <w:r>
        <w:br w:type="page"/>
      </w:r>
    </w:p>
    <w:p>
      <w:pPr>
        <w:spacing w:after="400" w:before="200"/>
        <w:jc w:val="center"/>
      </w:pPr>
      <w:r>
        <w:rPr>
          <w:rFonts w:ascii="Calibri" w:cs="Calibri" w:eastAsia="Calibri" w:hAnsi="Calibri"/>
          <w:color w:val="323E4F"/>
          <w:sz w:val="36"/>
          <w:szCs w:val="36"/>
        </w:rPr>
        <w:t xml:space="preserve">CONTENIDO</w:t>
      </w:r>
    </w:p>
    <w:p>
      <w:pPr>
        <w:spacing w:after="200"/>
        <w:ind w:left="1700"/>
      </w:pPr>
      <w:r>
        <w:rPr>
          <w:rFonts w:ascii="Calibri" w:cs="Calibri" w:eastAsia="Calibri" w:hAnsi="Calibri"/>
          <w:color w:val="323E4F"/>
          <w:sz w:val="24"/>
          <w:szCs w:val="24"/>
        </w:rPr>
        <w:t xml:space="preserve">I.</w:t>
      </w:r>
      <w:r>
        <w:rPr>
          <w:rFonts w:ascii="Calibri" w:cs="Calibri" w:eastAsia="Calibri" w:hAnsi="Calibri"/>
          <w:color w:val="404040"/>
          <w:sz w:val="24"/>
          <w:szCs w:val="24"/>
        </w:rPr>
        <w:t xml:space="preserve">PRESENTACIÓN</w:t>
      </w:r>
    </w:p>
    <w:p>
      <w:pPr>
        <w:spacing w:after="200"/>
        <w:ind w:left="1700"/>
      </w:pPr>
      <w:r>
        <w:rPr>
          <w:rFonts w:ascii="Calibri" w:cs="Calibri" w:eastAsia="Calibri" w:hAnsi="Calibri"/>
          <w:color w:val="323E4F"/>
          <w:sz w:val="24"/>
          <w:szCs w:val="24"/>
        </w:rPr>
        <w:t xml:space="preserve">II.</w:t>
      </w:r>
      <w:r>
        <w:rPr>
          <w:rFonts w:ascii="Calibri" w:cs="Calibri" w:eastAsia="Calibri" w:hAnsi="Calibri"/>
          <w:color w:val="404040"/>
          <w:sz w:val="24"/>
          <w:szCs w:val="24"/>
        </w:rPr>
        <w:t xml:space="preserve">OBJETIVOS</w:t>
      </w:r>
    </w:p>
    <w:p>
      <w:pPr>
        <w:spacing w:after="200"/>
        <w:ind w:left="2600"/>
      </w:pPr>
      <w:r>
        <w:rPr>
          <w:rFonts w:ascii="Calibri" w:cs="Calibri" w:eastAsia="Calibri" w:hAnsi="Calibri"/>
          <w:color w:val="404040"/>
          <w:sz w:val="24"/>
          <w:szCs w:val="24"/>
        </w:rPr>
        <w:t xml:space="preserve">a.    Objetivo general</w:t>
      </w:r>
    </w:p>
    <w:p>
      <w:pPr>
        <w:spacing w:after="200"/>
        <w:ind w:left="2600"/>
      </w:pPr>
      <w:r>
        <w:rPr>
          <w:rFonts w:ascii="Calibri" w:cs="Calibri" w:eastAsia="Calibri" w:hAnsi="Calibri"/>
          <w:color w:val="404040"/>
          <w:sz w:val="24"/>
          <w:szCs w:val="24"/>
        </w:rPr>
        <w:t xml:space="preserve">b.    Objetivos específicos</w:t>
      </w:r>
    </w:p>
    <w:p>
      <w:pPr>
        <w:spacing w:after="200"/>
        <w:ind w:left="1700"/>
      </w:pPr>
      <w:r>
        <w:rPr>
          <w:rFonts w:ascii="Calibri" w:cs="Calibri" w:eastAsia="Calibri" w:hAnsi="Calibri"/>
          <w:color w:val="323E4F"/>
          <w:sz w:val="24"/>
          <w:szCs w:val="24"/>
        </w:rPr>
        <w:t xml:space="preserve">III.</w:t>
      </w:r>
      <w:r>
        <w:rPr>
          <w:rFonts w:ascii="Calibri" w:cs="Calibri" w:eastAsia="Calibri" w:hAnsi="Calibri"/>
          <w:color w:val="404040"/>
          <w:sz w:val="24"/>
          <w:szCs w:val="24"/>
        </w:rPr>
        <w:t xml:space="preserve">ÁMBITO DE INFLUENCIA</w:t>
      </w:r>
    </w:p>
    <w:p>
      <w:pPr>
        <w:spacing w:after="200"/>
        <w:ind w:left="1700"/>
      </w:pPr>
      <w:r>
        <w:rPr>
          <w:rFonts w:ascii="Calibri" w:cs="Calibri" w:eastAsia="Calibri" w:hAnsi="Calibri"/>
          <w:color w:val="323E4F"/>
          <w:sz w:val="24"/>
          <w:szCs w:val="24"/>
        </w:rPr>
        <w:t xml:space="preserve">IV.</w:t>
      </w:r>
      <w:r>
        <w:rPr>
          <w:rFonts w:ascii="Calibri" w:cs="Calibri" w:eastAsia="Calibri" w:hAnsi="Calibri"/>
          <w:color w:val="404040"/>
          <w:sz w:val="24"/>
          <w:szCs w:val="24"/>
        </w:rPr>
        <w:t xml:space="preserve">METODOLOGÍA</w:t>
      </w:r>
    </w:p>
    <w:p>
      <w:pPr>
        <w:spacing w:after="200"/>
        <w:ind w:left="1700"/>
      </w:pPr>
      <w:r>
        <w:rPr>
          <w:rFonts w:ascii="Calibri" w:cs="Calibri" w:eastAsia="Calibri" w:hAnsi="Calibri"/>
          <w:color w:val="323E4F"/>
          <w:sz w:val="24"/>
          <w:szCs w:val="24"/>
        </w:rPr>
        <w:t xml:space="preserve">V.</w:t>
      </w:r>
      <w:r>
        <w:rPr>
          <w:rFonts w:ascii="Calibri" w:cs="Calibri" w:eastAsia="Calibri" w:hAnsi="Calibri"/>
          <w:color w:val="404040"/>
          <w:sz w:val="24"/>
          <w:szCs w:val="24"/>
        </w:rPr>
        <w:t xml:space="preserve">MERCADO EDUCATIVO</w:t>
      </w:r>
    </w:p>
    <w:p>
      <w:pPr>
        <w:spacing w:after="200"/>
        <w:ind w:left="2600"/>
      </w:pPr>
      <w:r>
        <w:rPr>
          <w:rFonts w:ascii="Calibri" w:cs="Calibri" w:eastAsia="Calibri" w:hAnsi="Calibri"/>
          <w:color w:val="404040"/>
          <w:sz w:val="24"/>
          <w:szCs w:val="24"/>
        </w:rPr>
        <w:t xml:space="preserve">a.    Demanda educativa</w:t>
      </w:r>
    </w:p>
    <w:p>
      <w:pPr>
        <w:spacing w:after="200"/>
        <w:ind w:left="2600"/>
      </w:pPr>
      <w:r>
        <w:rPr>
          <w:rFonts w:ascii="Calibri" w:cs="Calibri" w:eastAsia="Calibri" w:hAnsi="Calibri"/>
          <w:color w:val="404040"/>
          <w:sz w:val="24"/>
          <w:szCs w:val="24"/>
        </w:rPr>
        <w:t xml:space="preserve">b.    Oferta educativa</w:t>
      </w:r>
    </w:p>
    <w:p>
      <w:pPr>
        <w:spacing w:after="200"/>
        <w:ind w:left="1700"/>
      </w:pPr>
      <w:r>
        <w:rPr>
          <w:rFonts w:ascii="Calibri" w:cs="Calibri" w:eastAsia="Calibri" w:hAnsi="Calibri"/>
          <w:color w:val="323E4F"/>
          <w:sz w:val="24"/>
          <w:szCs w:val="24"/>
        </w:rPr>
        <w:t xml:space="preserve">VI.</w:t>
      </w:r>
      <w:r>
        <w:rPr>
          <w:rFonts w:ascii="Calibri" w:cs="Calibri" w:eastAsia="Calibri" w:hAnsi="Calibri"/>
          <w:color w:val="404040"/>
          <w:sz w:val="24"/>
          <w:szCs w:val="24"/>
        </w:rPr>
        <w:t xml:space="preserve">JUSTIFICACIÓN DE LA CREACIÓN DEL PROGRAMA</w:t>
      </w:r>
    </w:p>
    <w:p>
      <w:pPr>
        <w:spacing w:after="200"/>
        <w:ind w:left="1700"/>
      </w:pPr>
      <w:r>
        <w:rPr>
          <w:rFonts w:ascii="Calibri" w:cs="Calibri" w:eastAsia="Calibri" w:hAnsi="Calibri"/>
          <w:color w:val="323E4F"/>
          <w:sz w:val="24"/>
          <w:szCs w:val="24"/>
        </w:rPr>
        <w:t xml:space="preserve">VII.</w:t>
      </w:r>
      <w:r>
        <w:rPr>
          <w:rFonts w:ascii="Calibri" w:cs="Calibri" w:eastAsia="Calibri" w:hAnsi="Calibri"/>
          <w:color w:val="404040"/>
          <w:sz w:val="24"/>
          <w:szCs w:val="24"/>
        </w:rPr>
        <w:t xml:space="preserve">PROPUESTA USS</w:t>
      </w:r>
    </w:p>
    <w:p>
      <w:pPr>
        <w:spacing w:after="200"/>
        <w:ind w:left="1700"/>
      </w:pPr>
      <w:r>
        <w:rPr>
          <w:rFonts w:ascii="Calibri" w:cs="Calibri" w:eastAsia="Calibri" w:hAnsi="Calibri"/>
          <w:color w:val="323E4F"/>
          <w:sz w:val="24"/>
          <w:szCs w:val="24"/>
        </w:rPr>
        <w:t xml:space="preserve">VIII.</w:t>
      </w:r>
      <w:r>
        <w:rPr>
          <w:rFonts w:ascii="Calibri" w:cs="Calibri" w:eastAsia="Calibri" w:hAnsi="Calibri"/>
          <w:color w:val="404040"/>
          <w:sz w:val="24"/>
          <w:szCs w:val="24"/>
        </w:rPr>
        <w:t xml:space="preserve">CONCLUSIONES</w:t>
      </w:r>
    </w:p>
    <w:p>
      <w:r>
        <w:br w:type="page"/>
      </w:r>
    </w:p>
    <w:p>
      <w:pPr>
        <w:keepNext/>
        <w:spacing w:after="160" w:before="240"/>
      </w:pPr>
      <w:r>
        <w:rPr>
          <w:rFonts w:ascii="Calibri" w:cs="Calibri" w:eastAsia="Calibri" w:hAnsi="Calibri"/>
          <w:color w:val="323E4F"/>
          <w:sz w:val="28"/>
          <w:szCs w:val="28"/>
        </w:rPr>
        <w:t xml:space="preserve">I. PRESENTACIÓN</w:t>
      </w:r>
    </w:p>
    <w:p>
      <w:pPr>
        <w:spacing w:after="120" w:line="360"/>
        <w:jc w:val="both"/>
      </w:pPr>
      <w:r>
        <w:rPr>
          <w:rFonts w:ascii="Calibri" w:cs="Calibri" w:eastAsia="Calibri" w:hAnsi="Calibri"/>
          <w:sz w:val="24"/>
          <w:szCs w:val="24"/>
        </w:rPr>
        <w:t xml:space="preserve">La Universidad Señor de Sipán S.A.C. (en adelante, USS), de acuerdo con la normativa vigente y los objetivos institucionales, establece ampliar su oferta educativa con programas pertinentes a las necesidades del territorio, previo acuerdo de la Junta General de Accionistas y, cuando corresponda, la autorización de la Superintendencia Nacional de Educación Superior Universitaria (SUNEDU) como resultado de la evaluación de la modificación de licencia institucional.</w:t>
      </w:r>
    </w:p>
    <w:p>
      <w:pPr>
        <w:shd w:fill="FFF8DC" w:color="auto" w:val="clear"/>
        <w:spacing w:after="120" w:line="360"/>
        <w:jc w:val="both"/>
      </w:pPr>
      <w:r>
        <w:rPr>
          <w:rFonts w:ascii="Calibri" w:cs="Calibri" w:eastAsia="Calibri" w:hAnsi="Calibri"/>
          <w:b/>
          <w:bCs/>
          <w:sz w:val="24"/>
          <w:szCs w:val="24"/>
          <w:shd w:fill="FFFF00" w:color="auto" w:val="clear"/>
        </w:rPr>
        <w:t xml:space="preserve">[VERIFICAR]</w:t>
      </w:r>
      <w:r>
        <w:rPr>
          <w:rFonts w:ascii="Calibri" w:cs="Calibri" w:eastAsia="Calibri" w:hAnsi="Calibri"/>
          <w:sz w:val="24"/>
          <w:szCs w:val="24"/>
        </w:rPr>
        <w:t xml:space="preserve"> Encuadre institucional: la plantilla corresponde a la creación de programas en filiales. La sede principal de la USS se ubica en la región Lambayeque (Chiclayo/Pimentel); confirmar con la Dirección Académica si corresponde tramitarlo como programa nuevo en la sede.</w:t>
      </w:r>
    </w:p>
    <w:p>
      <w:pPr>
        <w:spacing w:after="120" w:line="360"/>
        <w:jc w:val="both"/>
      </w:pPr>
      <w:r>
        <w:rPr>
          <w:rFonts w:ascii="Calibri" w:cs="Calibri" w:eastAsia="Calibri" w:hAnsi="Calibri"/>
          <w:sz w:val="24"/>
          <w:szCs w:val="24"/>
        </w:rPr>
        <w:t xml:space="preserve">Los cambios que la sociedad actual requiere exigen que las universidades se mantengan enfocadas en responder a las nuevas tendencias, los cambios tecnológicos y los desafíos sanitarios. En el campo farmacéutico, esto implica formar profesionales capaces de garantizar el acceso, la calidad y el uso racional de los medicamentos, la atención farmacéutica y la vigilancia sanitaria, en un contexto de expansión de las cadenas de boticas y de persistencia del comercio ilegal de medicamentos.</w:t>
      </w:r>
    </w:p>
    <w:p>
      <w:pPr>
        <w:spacing w:after="120" w:line="360"/>
        <w:jc w:val="both"/>
      </w:pPr>
      <w:r>
        <w:rPr>
          <w:rFonts w:ascii="Calibri" w:cs="Calibri" w:eastAsia="Calibri" w:hAnsi="Calibri"/>
          <w:sz w:val="24"/>
          <w:szCs w:val="24"/>
        </w:rPr>
        <w:t xml:space="preserve">Es por ello que el presente informe contiene las siguientes secciones: objetivos, ámbito de influencia del programa, metodología, demanda laboral, demanda y oferta formativa, pertinencia social y conclusiones.</w:t>
      </w:r>
    </w:p>
    <w:p>
      <w:pPr>
        <w:spacing w:after="120" w:line="360"/>
        <w:jc w:val="both"/>
      </w:pPr>
      <w:r>
        <w:rPr>
          <w:rFonts w:ascii="Calibri" w:cs="Calibri" w:eastAsia="Calibri" w:hAnsi="Calibri"/>
          <w:sz w:val="24"/>
          <w:szCs w:val="24"/>
        </w:rPr>
        <w:t xml:space="preserve">La justificación del programa de Farmacia y Bioquímica en la modalidad presencial se centra en la necesidad sanitaria regional, el crecimiento del mercado farmacéutico, la exigencia normativa de contar con un Químico Farmacéutico en cada establecimiento farmacéutico, el componente práctico de laboratorio que la carrera requiere y la calidad académica.</w:t>
      </w:r>
    </w:p>
    <w:p>
      <w:pPr>
        <w:keepNext/>
        <w:spacing w:after="160" w:before="240"/>
      </w:pPr>
      <w:r>
        <w:rPr>
          <w:rFonts w:ascii="Calibri" w:cs="Calibri" w:eastAsia="Calibri" w:hAnsi="Calibri"/>
          <w:color w:val="323E4F"/>
          <w:sz w:val="28"/>
          <w:szCs w:val="28"/>
        </w:rPr>
        <w:t xml:space="preserve">II. OBJETIVOS</w:t>
      </w:r>
    </w:p>
    <w:p>
      <w:pPr>
        <w:keepNext/>
        <w:spacing w:after="120" w:before="200"/>
        <w:ind w:left="284"/>
      </w:pPr>
      <w:r>
        <w:rPr>
          <w:rFonts w:ascii="Calibri" w:cs="Calibri" w:eastAsia="Calibri" w:hAnsi="Calibri"/>
          <w:color w:val="323E4F"/>
          <w:sz w:val="26"/>
          <w:szCs w:val="26"/>
        </w:rPr>
        <w:t xml:space="preserve">2.1.- Objetivo general</w:t>
      </w:r>
    </w:p>
    <w:p>
      <w:pPr>
        <w:spacing w:after="120" w:line="360"/>
        <w:jc w:val="both"/>
      </w:pPr>
      <w:r>
        <w:rPr>
          <w:rFonts w:ascii="Calibri" w:cs="Calibri" w:eastAsia="Calibri" w:hAnsi="Calibri"/>
          <w:sz w:val="24"/>
          <w:szCs w:val="24"/>
        </w:rPr>
        <w:t xml:space="preserve">Justificar la pertinencia del programa de pregrado presencial de Farmacia y Bioquímica en la región Lambayeque (provincia de Chiclayo) con base en el análisis del mercado laboral, sanitario y formativo.</w:t>
      </w:r>
    </w:p>
    <w:p>
      <w:pPr>
        <w:keepNext/>
        <w:spacing w:after="120" w:before="200"/>
        <w:ind w:left="284"/>
      </w:pPr>
      <w:r>
        <w:rPr>
          <w:rFonts w:ascii="Calibri" w:cs="Calibri" w:eastAsia="Calibri" w:hAnsi="Calibri"/>
          <w:color w:val="323E4F"/>
          <w:sz w:val="26"/>
          <w:szCs w:val="26"/>
        </w:rPr>
        <w:t xml:space="preserve">2.2.- Objetivos específicos</w:t>
      </w:r>
    </w:p>
    <w:p>
      <w:pPr>
        <w:pStyle w:val="ListParagraph"/>
        <w:numPr>
          <w:ilvl w:val="0"/>
          <w:numId w:val="2"/>
        </w:numPr>
        <w:spacing w:after="80" w:line="360"/>
        <w:jc w:val="both"/>
      </w:pPr>
      <w:r>
        <w:rPr>
          <w:rFonts w:ascii="Calibri" w:cs="Calibri" w:eastAsia="Calibri" w:hAnsi="Calibri"/>
          <w:sz w:val="24"/>
          <w:szCs w:val="24"/>
        </w:rPr>
        <w:t xml:space="preserve">Analizar el estado de la oferta y demanda educativa respecto del Programa de Farmacia y Bioquímica en Lambayeque.</w:t>
      </w:r>
    </w:p>
    <w:p>
      <w:pPr>
        <w:pStyle w:val="ListParagraph"/>
        <w:numPr>
          <w:ilvl w:val="0"/>
          <w:numId w:val="2"/>
        </w:numPr>
        <w:spacing w:after="80" w:line="360"/>
        <w:jc w:val="both"/>
      </w:pPr>
      <w:r>
        <w:rPr>
          <w:rFonts w:ascii="Calibri" w:cs="Calibri" w:eastAsia="Calibri" w:hAnsi="Calibri"/>
          <w:sz w:val="24"/>
          <w:szCs w:val="24"/>
        </w:rPr>
        <w:t xml:space="preserve">Establecer la relevancia y pertinencia social, sanitaria y académica del programa en la modalidad presencial con base en las políticas nacionales (Política Nacional de Medicamentos; Ley N.° 29459), internacionales y regionales vigentes.</w:t>
      </w:r>
    </w:p>
    <w:p>
      <w:pPr>
        <w:keepNext/>
        <w:spacing w:after="160" w:before="240"/>
      </w:pPr>
      <w:r>
        <w:rPr>
          <w:rFonts w:ascii="Calibri" w:cs="Calibri" w:eastAsia="Calibri" w:hAnsi="Calibri"/>
          <w:color w:val="323E4F"/>
          <w:sz w:val="28"/>
          <w:szCs w:val="28"/>
        </w:rPr>
        <w:t xml:space="preserve">III.- ÁMBITO DE INFLUENCIA</w:t>
      </w:r>
    </w:p>
    <w:p>
      <w:pPr>
        <w:spacing w:after="120" w:line="360"/>
        <w:jc w:val="both"/>
      </w:pPr>
      <w:r>
        <w:rPr>
          <w:rFonts w:ascii="Calibri" w:cs="Calibri" w:eastAsia="Calibri" w:hAnsi="Calibri"/>
          <w:sz w:val="24"/>
          <w:szCs w:val="24"/>
        </w:rPr>
        <w:t xml:space="preserve">La región Lambayeque se encuentra al noroeste del Perú. Se extiende en una superficie de </w:t>
      </w:r>
      <w:r>
        <w:rPr>
          <w:rFonts w:ascii="Calibri" w:cs="Calibri" w:eastAsia="Calibri" w:hAnsi="Calibri"/>
          <w:b/>
          <w:bCs/>
          <w:sz w:val="24"/>
          <w:szCs w:val="24"/>
        </w:rPr>
        <w:t xml:space="preserve">14 231 km²</w:t>
      </w:r>
      <w:r>
        <w:rPr>
          <w:rFonts w:ascii="Calibri" w:cs="Calibri" w:eastAsia="Calibri" w:hAnsi="Calibri"/>
          <w:sz w:val="24"/>
          <w:szCs w:val="24"/>
        </w:rPr>
        <w:t xml:space="preserve">, correspondiente al 1,1 % del territorio nacional. Limita por el norte con Piura; por el este, con Cajamarca; por el sur, con La Libertad; y por el oeste, con el Océano Pacífico. Políticamente está dividida en </w:t>
      </w:r>
      <w:r>
        <w:rPr>
          <w:rFonts w:ascii="Calibri" w:cs="Calibri" w:eastAsia="Calibri" w:hAnsi="Calibri"/>
          <w:b/>
          <w:bCs/>
          <w:sz w:val="24"/>
          <w:szCs w:val="24"/>
        </w:rPr>
        <w:t xml:space="preserve">3 provincias (Chiclayo, Lambayeque y Ferreñafe) y 38 distritos</w:t>
      </w:r>
      <w:r>
        <w:rPr>
          <w:rFonts w:ascii="Calibri" w:cs="Calibri" w:eastAsia="Calibri" w:hAnsi="Calibri"/>
          <w:sz w:val="24"/>
          <w:szCs w:val="24"/>
        </w:rPr>
        <w:t xml:space="preserve">, siendo su capital la ciudad de Chiclayo (BCRP, Caracterización del departamento de Lambayeque, p. 1).</w:t>
      </w:r>
    </w:p>
    <w:p>
      <w:pPr>
        <w:spacing w:after="120" w:line="360"/>
        <w:jc w:val="both"/>
      </w:pPr>
      <w:r>
        <w:rPr>
          <w:rFonts w:ascii="Calibri" w:cs="Calibri" w:eastAsia="Calibri" w:hAnsi="Calibri"/>
          <w:sz w:val="24"/>
          <w:szCs w:val="24"/>
        </w:rPr>
        <w:t xml:space="preserve">La región cuenta con una población de </w:t>
      </w:r>
      <w:r>
        <w:rPr>
          <w:rFonts w:ascii="Calibri" w:cs="Calibri" w:eastAsia="Calibri" w:hAnsi="Calibri"/>
          <w:b/>
          <w:bCs/>
          <w:sz w:val="24"/>
          <w:szCs w:val="24"/>
        </w:rPr>
        <w:t xml:space="preserve">1 356 202 habitantes</w:t>
      </w:r>
      <w:r>
        <w:rPr>
          <w:rFonts w:ascii="Calibri" w:cs="Calibri" w:eastAsia="Calibri" w:hAnsi="Calibri"/>
          <w:sz w:val="24"/>
          <w:szCs w:val="24"/>
        </w:rPr>
        <w:t xml:space="preserve">, de los cuales el 49,4 % son hombres y el 50,6 % mujeres; la población de hasta 14 años representa el 25,8 % del total (PRODUCE, Diagnóstico Productivo Regional Lambayeque 2024, p. 2). En el Censo 2017 la región registró 1 197 mil habitantes, el 81 % en el área urbana (BCRP, p. 2-3). Para 2026, CPI proyecta </w:t>
      </w:r>
      <w:r>
        <w:rPr>
          <w:rFonts w:ascii="Calibri" w:cs="Calibri" w:eastAsia="Calibri" w:hAnsi="Calibri"/>
          <w:b/>
          <w:bCs/>
          <w:sz w:val="24"/>
          <w:szCs w:val="24"/>
        </w:rPr>
        <w:t xml:space="preserve">1 412 900 habitantes</w:t>
      </w:r>
      <w:r>
        <w:rPr>
          <w:rFonts w:ascii="Calibri" w:cs="Calibri" w:eastAsia="Calibri" w:hAnsi="Calibri"/>
          <w:sz w:val="24"/>
          <w:szCs w:val="24"/>
        </w:rPr>
        <w:t xml:space="preserve"> en la región (4,1 % del país; 82 % urbana), de los cuales 952 700 (67,4 %) residen en la provincia de Chiclayo, 346 900 (24,6 %) en Lambayeque y 113 300 (8,0 %) en Ferreñafe (CPI Research, Market Report N° 003, 2025).</w:t>
      </w:r>
    </w:p>
    <w:p>
      <w:pPr>
        <w:spacing w:after="120" w:line="360"/>
        <w:jc w:val="both"/>
      </w:pPr>
      <w:r>
        <w:rPr>
          <w:rFonts w:ascii="Calibri" w:cs="Calibri" w:eastAsia="Calibri" w:hAnsi="Calibri"/>
          <w:sz w:val="24"/>
          <w:szCs w:val="24"/>
        </w:rPr>
        <w:t xml:space="preserve">De acuerdo con el BCRP, Lambayeque creció a un promedio anual de </w:t>
      </w:r>
      <w:r>
        <w:rPr>
          <w:rFonts w:ascii="Calibri" w:cs="Calibri" w:eastAsia="Calibri" w:hAnsi="Calibri"/>
          <w:b/>
          <w:bCs/>
          <w:sz w:val="24"/>
          <w:szCs w:val="24"/>
        </w:rPr>
        <w:t xml:space="preserve">2,7 % en el periodo 2015-2024</w:t>
      </w:r>
      <w:r>
        <w:rPr>
          <w:rFonts w:ascii="Calibri" w:cs="Calibri" w:eastAsia="Calibri" w:hAnsi="Calibri"/>
          <w:sz w:val="24"/>
          <w:szCs w:val="24"/>
        </w:rPr>
        <w:t xml:space="preserve">, por encima del promedio nacional (2,3 %), y fue la octava región con mayor crecimiento de la última década. En 2024 su PBI alcanzó </w:t>
      </w:r>
      <w:r>
        <w:rPr>
          <w:rFonts w:ascii="Calibri" w:cs="Calibri" w:eastAsia="Calibri" w:hAnsi="Calibri"/>
          <w:b/>
          <w:bCs/>
          <w:sz w:val="24"/>
          <w:szCs w:val="24"/>
        </w:rPr>
        <w:t xml:space="preserve">S/ 14 065 millones</w:t>
      </w:r>
      <w:r>
        <w:rPr>
          <w:rFonts w:ascii="Calibri" w:cs="Calibri" w:eastAsia="Calibri" w:hAnsi="Calibri"/>
          <w:sz w:val="24"/>
          <w:szCs w:val="24"/>
        </w:rPr>
        <w:t xml:space="preserve">, con un crecimiento de </w:t>
      </w:r>
      <w:r>
        <w:rPr>
          <w:rFonts w:ascii="Calibri" w:cs="Calibri" w:eastAsia="Calibri" w:hAnsi="Calibri"/>
          <w:b/>
          <w:bCs/>
          <w:sz w:val="24"/>
          <w:szCs w:val="24"/>
        </w:rPr>
        <w:t xml:space="preserve">5,2 %</w:t>
      </w:r>
      <w:r>
        <w:rPr>
          <w:rFonts w:ascii="Calibri" w:cs="Calibri" w:eastAsia="Calibri" w:hAnsi="Calibri"/>
          <w:sz w:val="24"/>
          <w:szCs w:val="24"/>
        </w:rPr>
        <w:t xml:space="preserve"> respecto de 2023, y aportó el </w:t>
      </w:r>
      <w:r>
        <w:rPr>
          <w:rFonts w:ascii="Calibri" w:cs="Calibri" w:eastAsia="Calibri" w:hAnsi="Calibri"/>
          <w:b/>
          <w:bCs/>
          <w:sz w:val="24"/>
          <w:szCs w:val="24"/>
        </w:rPr>
        <w:t xml:space="preserve">2,7 % del PBI nacional</w:t>
      </w:r>
      <w:r>
        <w:rPr>
          <w:rFonts w:ascii="Calibri" w:cs="Calibri" w:eastAsia="Calibri" w:hAnsi="Calibri"/>
          <w:sz w:val="24"/>
          <w:szCs w:val="24"/>
        </w:rPr>
        <w:t xml:space="preserve">; el PBI per cápita fue de </w:t>
      </w:r>
      <w:r>
        <w:rPr>
          <w:rFonts w:ascii="Calibri" w:cs="Calibri" w:eastAsia="Calibri" w:hAnsi="Calibri"/>
          <w:b/>
          <w:bCs/>
          <w:sz w:val="24"/>
          <w:szCs w:val="24"/>
        </w:rPr>
        <w:t xml:space="preserve">S/ 10 371</w:t>
      </w:r>
      <w:r>
        <w:rPr>
          <w:rFonts w:ascii="Calibri" w:cs="Calibri" w:eastAsia="Calibri" w:hAnsi="Calibri"/>
          <w:sz w:val="24"/>
          <w:szCs w:val="24"/>
        </w:rPr>
        <w:t xml:space="preserve"> (PRODUCE, p. 1). Los principales sectores que aportan a su producción son otros servicios (28,0 %), comercio (18,5 %), agropecuario (9,7 %), manufactura (9,7 %) y construcción (8,4 %) (Tabla A).</w:t>
      </w:r>
    </w:p>
    <w:p>
      <w:pPr>
        <w:keepNext/>
        <w:spacing w:after="60" w:before="160"/>
        <w:jc w:val="center"/>
      </w:pPr>
      <w:r>
        <w:rPr>
          <w:rFonts w:ascii="Calibri" w:cs="Calibri" w:eastAsia="Calibri" w:hAnsi="Calibri"/>
          <w:sz w:val="22"/>
          <w:szCs w:val="22"/>
        </w:rPr>
        <w:t xml:space="preserve">Tabla A. Lambayeque: Valor Agregado Bruto, 2015-2024</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2300"/>
      </w:tblGrid>
      <w:tr>
        <w:trPr>
          <w:tblHeader/>
        </w:trPr>
        <w:tc>
          <w:tcPr>
            <w:tcW w:type="dxa" w:w="36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Actividades</w:t>
            </w:r>
          </w:p>
        </w:tc>
        <w:tc>
          <w:tcPr>
            <w:tcW w:type="dxa" w:w="23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Estructura porcentual promedio</w:t>
            </w:r>
          </w:p>
        </w:tc>
        <w:tc>
          <w:tcPr>
            <w:tcW w:type="dxa" w:w="23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Crecimiento promedio anual (%)</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Agropecuario</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9,7</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6,1</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Pesca y acuicultura</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0,3</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-1,9</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Minería y petróleo</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0,3</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1,0</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Manufactura</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9,7</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0,9</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Electricidad y agua</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1,1</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5,7</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Construcción</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8,4</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0,8</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Comercio</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18,5</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2,2</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Transporte y comunicaciones</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7,6</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2,4</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Alojamiento y restaurantes</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2,3</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0,5</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Telecomunicaciones</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6,9</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6,4</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Administración pública y defensa</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7,1</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3,6</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Otros servicios</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28,0</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2,2</w:t>
            </w:r>
          </w:p>
        </w:tc>
      </w:tr>
      <w:tr>
        <w:trPr>
          <w:cantSplit/>
        </w:trPr>
        <w:tc>
          <w:tcPr>
            <w:tcW w:type="dxa" w:w="3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Lambayeque</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100,0</w:t>
            </w:r>
          </w:p>
        </w:tc>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2,7</w:t>
            </w:r>
          </w:p>
        </w:tc>
      </w:tr>
    </w:tbl>
    <w:p>
      <w:pPr>
        <w:spacing w:after="160"/>
        <w:ind w:left="300"/>
      </w:pPr>
      <w:r>
        <w:rPr>
          <w:rFonts w:ascii="Arial" w:cs="Arial" w:eastAsia="Arial" w:hAnsi="Arial"/>
          <w:b/>
          <w:bCs/>
          <w:i/>
          <w:iCs/>
          <w:sz w:val="14"/>
          <w:szCs w:val="14"/>
        </w:rPr>
        <w:t xml:space="preserve">Fuente: BCRP – Sucursal Piura, Caracterización del departamento de Lambayeque (2025), Cuadro N° 2, p. 4.</w:t>
      </w:r>
    </w:p>
    <w:p>
      <w:pPr>
        <w:spacing w:after="120" w:line="360"/>
        <w:jc w:val="both"/>
      </w:pPr>
      <w:r>
        <w:rPr>
          <w:rFonts w:ascii="Calibri" w:cs="Calibri" w:eastAsia="Calibri" w:hAnsi="Calibri"/>
          <w:sz w:val="24"/>
          <w:szCs w:val="24"/>
        </w:rPr>
        <w:t xml:space="preserve">En 2022, la Población en Edad de Trabajar (PET) fue de 1 031 427 personas y la </w:t>
      </w:r>
      <w:r>
        <w:rPr>
          <w:rFonts w:ascii="Calibri" w:cs="Calibri" w:eastAsia="Calibri" w:hAnsi="Calibri"/>
          <w:b/>
          <w:bCs/>
          <w:sz w:val="24"/>
          <w:szCs w:val="24"/>
        </w:rPr>
        <w:t xml:space="preserve">PEA de 721 994</w:t>
      </w:r>
      <w:r>
        <w:rPr>
          <w:rFonts w:ascii="Calibri" w:cs="Calibri" w:eastAsia="Calibri" w:hAnsi="Calibri"/>
          <w:sz w:val="24"/>
          <w:szCs w:val="24"/>
        </w:rPr>
        <w:t xml:space="preserve">, de la cual el 97,9 % estaba ocupada y el </w:t>
      </w:r>
      <w:r>
        <w:rPr>
          <w:rFonts w:ascii="Calibri" w:cs="Calibri" w:eastAsia="Calibri" w:hAnsi="Calibri"/>
          <w:b/>
          <w:bCs/>
          <w:sz w:val="24"/>
          <w:szCs w:val="24"/>
        </w:rPr>
        <w:t xml:space="preserve">2,1 % desocupada</w:t>
      </w:r>
      <w:r>
        <w:rPr>
          <w:rFonts w:ascii="Calibri" w:cs="Calibri" w:eastAsia="Calibri" w:hAnsi="Calibri"/>
          <w:sz w:val="24"/>
          <w:szCs w:val="24"/>
        </w:rPr>
        <w:t xml:space="preserve">; el empleo adecuado alcanzó al 54,4 % de los ocupados y el subempleo al 43,5 % (MTPE – OSEL Lambayeque, Tríptico N° 02-2024). Dentro de la PEA ocupada, el </w:t>
      </w:r>
      <w:r>
        <w:rPr>
          <w:rFonts w:ascii="Calibri" w:cs="Calibri" w:eastAsia="Calibri" w:hAnsi="Calibri"/>
          <w:b/>
          <w:bCs/>
          <w:sz w:val="24"/>
          <w:szCs w:val="24"/>
        </w:rPr>
        <w:t xml:space="preserve">16,6 % cuenta con estudios superiores no universitarios y solo el 13,9 % con estudios superiores universitarios</w:t>
      </w:r>
      <w:r>
        <w:rPr>
          <w:rFonts w:ascii="Calibri" w:cs="Calibri" w:eastAsia="Calibri" w:hAnsi="Calibri"/>
          <w:sz w:val="24"/>
          <w:szCs w:val="24"/>
        </w:rPr>
        <w:t xml:space="preserve">, mientras que el 46,9 % tiene secundaria y el 19,3 % primaria. Esta baja proporción de profesionales universitarios se asocia con la persistencia de problemas sanitarios y de gestión en la región.</w:t>
      </w:r>
    </w:p>
    <w:p>
      <w:pPr>
        <w:spacing w:after="120" w:line="360"/>
        <w:jc w:val="both"/>
      </w:pPr>
      <w:r>
        <w:rPr>
          <w:rFonts w:ascii="Calibri" w:cs="Calibri" w:eastAsia="Calibri" w:hAnsi="Calibri"/>
          <w:sz w:val="24"/>
          <w:szCs w:val="24"/>
        </w:rPr>
        <w:t xml:space="preserve">La </w:t>
      </w:r>
      <w:r>
        <w:rPr>
          <w:rFonts w:ascii="Calibri" w:cs="Calibri" w:eastAsia="Calibri" w:hAnsi="Calibri"/>
          <w:b/>
          <w:bCs/>
          <w:sz w:val="24"/>
          <w:szCs w:val="24"/>
        </w:rPr>
        <w:t xml:space="preserve">pobreza monetaria</w:t>
      </w:r>
      <w:r>
        <w:rPr>
          <w:rFonts w:ascii="Calibri" w:cs="Calibri" w:eastAsia="Calibri" w:hAnsi="Calibri"/>
          <w:sz w:val="24"/>
          <w:szCs w:val="24"/>
        </w:rPr>
        <w:t xml:space="preserve"> en la región es de </w:t>
      </w:r>
      <w:r>
        <w:rPr>
          <w:rFonts w:ascii="Calibri" w:cs="Calibri" w:eastAsia="Calibri" w:hAnsi="Calibri"/>
          <w:b/>
          <w:bCs/>
          <w:sz w:val="24"/>
          <w:szCs w:val="24"/>
        </w:rPr>
        <w:t xml:space="preserve">17,9 %</w:t>
      </w:r>
      <w:r>
        <w:rPr>
          <w:rFonts w:ascii="Calibri" w:cs="Calibri" w:eastAsia="Calibri" w:hAnsi="Calibri"/>
          <w:sz w:val="24"/>
          <w:szCs w:val="24"/>
        </w:rPr>
        <w:t xml:space="preserve"> y la pobreza extrema de 0,8 %; sin embargo, existen fuertes diferencias entre provincias: Chiclayo registra 17,8 %, Lambayeque 31,4 % y Ferreñafe 46,7 % (INEI, CEPLAN; en PRODUCE, p. 2).</w:t>
      </w:r>
    </w:p>
    <w:p>
      <w:pPr>
        <w:keepNext/>
        <w:spacing w:after="160" w:before="240"/>
      </w:pPr>
      <w:r>
        <w:rPr>
          <w:rFonts w:ascii="Calibri" w:cs="Calibri" w:eastAsia="Calibri" w:hAnsi="Calibri"/>
          <w:color w:val="323E4F"/>
          <w:sz w:val="28"/>
          <w:szCs w:val="28"/>
        </w:rPr>
        <w:t xml:space="preserve">IV.- METODOLOGÍA</w:t>
      </w:r>
    </w:p>
    <w:p>
      <w:pPr>
        <w:spacing w:after="120" w:line="360"/>
        <w:jc w:val="both"/>
      </w:pPr>
      <w:r>
        <w:rPr>
          <w:rFonts w:ascii="Calibri" w:cs="Calibri" w:eastAsia="Calibri" w:hAnsi="Calibri"/>
          <w:sz w:val="24"/>
          <w:szCs w:val="24"/>
        </w:rPr>
        <w:t xml:space="preserve">Para el análisis del mercado educativo y el mercado laboral de la carrera de Farmacia y Bioquímica en Lambayeque se han establecido las siguientes precisiones relativas al alcance geográfico:</w:t>
      </w:r>
    </w:p>
    <w:p>
      <w:pPr>
        <w:pStyle w:val="ListParagraph"/>
        <w:numPr>
          <w:ilvl w:val="0"/>
          <w:numId w:val="2"/>
        </w:numPr>
        <w:spacing w:after="80" w:line="360"/>
        <w:jc w:val="both"/>
      </w:pPr>
      <w:r>
        <w:rPr>
          <w:rFonts w:ascii="Calibri" w:cs="Calibri" w:eastAsia="Calibri" w:hAnsi="Calibri"/>
          <w:sz w:val="24"/>
          <w:szCs w:val="24"/>
        </w:rPr>
        <w:t xml:space="preserve">El mercado educativo se evaluó en toda la región Lambayeque, debido a que los estudiantes provienen de las tres provincias y de regiones vecinas (Cajamarca, Amazonas, norte de Piura y San Martín), que tienen en Chiclayo su polo educativo y de servicios de salud.</w:t>
      </w:r>
    </w:p>
    <w:p>
      <w:pPr>
        <w:pStyle w:val="ListParagraph"/>
        <w:numPr>
          <w:ilvl w:val="0"/>
          <w:numId w:val="2"/>
        </w:numPr>
        <w:spacing w:after="80" w:line="360"/>
        <w:jc w:val="both"/>
      </w:pPr>
      <w:r>
        <w:rPr>
          <w:rFonts w:ascii="Calibri" w:cs="Calibri" w:eastAsia="Calibri" w:hAnsi="Calibri"/>
          <w:sz w:val="24"/>
          <w:szCs w:val="24"/>
        </w:rPr>
        <w:t xml:space="preserve">El mercado laboral se evaluó a nivel de la región Lambayeque, debido a que los egresados se desplazan dentro de toda la región y el macro norte (farmacias y boticas, droguerías, hospitales del MINSA, EsSalud y clínicas privadas).</w:t>
      </w:r>
    </w:p>
    <w:p>
      <w:pPr>
        <w:spacing w:after="120" w:line="360"/>
        <w:jc w:val="both"/>
      </w:pPr>
      <w:r>
        <w:rPr>
          <w:rFonts w:ascii="Calibri" w:cs="Calibri" w:eastAsia="Calibri" w:hAnsi="Calibri"/>
          <w:sz w:val="24"/>
          <w:szCs w:val="24"/>
        </w:rPr>
        <w:t xml:space="preserve">Respecto de las fuentes, se realizó una revisión documentaria de información oficial: INEI (censos, proyecciones, ENAHO, ENDES y avance económico departamental), BCRP (caracterización departamental y síntesis de actividad económica), DIGEMID/MINSA (boletines y Registro Nacional de Establecimientos Farmacéuticos), GERESA Lambayeque, MTPE (demanda de ocupaciones e indicadores laborales), PRODUCE (diagnóstico productivo regional), SUNEDU (licenciamiento) y EsSalud.</w:t>
      </w:r>
    </w:p>
    <w:p>
      <w:pPr>
        <w:spacing w:after="120" w:line="360"/>
        <w:jc w:val="both"/>
      </w:pPr>
      <w:r>
        <w:rPr>
          <w:rFonts w:ascii="Calibri" w:cs="Calibri" w:eastAsia="Calibri" w:hAnsi="Calibri"/>
          <w:sz w:val="24"/>
          <w:szCs w:val="24"/>
        </w:rPr>
        <w:t xml:space="preserve">La demanda se calcula con la misma lógica del informe de referencia: (1) población objetivo = jóvenes de 15 a 29 años de Lambayeque de los NSE B, C y D que no se encuentran cursando estudios superiores; (2) demanda educativa = población objetivo × porcentaje interesado en estudiar Farmacia y Bioquímica (encuesta propia); (3) brecha = demanda educativa − oferta (ingresantes anuales de las universidades licenciadas que ofrecen la carrera en la región).</w:t>
      </w:r>
    </w:p>
    <w:p>
      <w:pPr>
        <w:keepNext/>
        <w:spacing w:after="160" w:before="240"/>
      </w:pPr>
      <w:r>
        <w:rPr>
          <w:rFonts w:ascii="Calibri" w:cs="Calibri" w:eastAsia="Calibri" w:hAnsi="Calibri"/>
          <w:color w:val="323E4F"/>
          <w:sz w:val="28"/>
          <w:szCs w:val="28"/>
        </w:rPr>
        <w:t xml:space="preserve">V.- MERCADO EDUCATIVO</w:t>
      </w:r>
    </w:p>
    <w:p>
      <w:pPr>
        <w:keepNext/>
        <w:spacing w:after="120" w:before="200"/>
        <w:ind w:left="284"/>
      </w:pPr>
      <w:r>
        <w:rPr>
          <w:rFonts w:ascii="Calibri" w:cs="Calibri" w:eastAsia="Calibri" w:hAnsi="Calibri"/>
          <w:color w:val="323E4F"/>
          <w:sz w:val="26"/>
          <w:szCs w:val="26"/>
        </w:rPr>
        <w:t xml:space="preserve">5.1.- Demanda educativa</w:t>
      </w:r>
    </w:p>
    <w:p>
      <w:pPr>
        <w:spacing w:after="120" w:line="360"/>
        <w:jc w:val="both"/>
      </w:pPr>
      <w:r>
        <w:rPr>
          <w:rFonts w:ascii="Calibri" w:cs="Calibri" w:eastAsia="Calibri" w:hAnsi="Calibri"/>
          <w:sz w:val="24"/>
          <w:szCs w:val="24"/>
        </w:rPr>
        <w:t xml:space="preserve">La demanda formativa se refiere al interés o la necesidad que tienen tanto individuos como instituciones de adquirir conocimientos, habilidades o competencias en un área educativa específica. En este contexto, se ha focalizado en la identificación de la población interesada en seguir la carrera de Farmacia y Bioquímica. Para delimitar este grupo objetivo, se han establecido los siguientes criterios:</w:t>
      </w:r>
    </w:p>
    <w:p>
      <w:pPr>
        <w:pStyle w:val="ListParagraph"/>
        <w:numPr>
          <w:ilvl w:val="0"/>
          <w:numId w:val="2"/>
        </w:numPr>
        <w:spacing w:after="80" w:line="360"/>
        <w:jc w:val="both"/>
      </w:pPr>
      <w:r>
        <w:rPr>
          <w:rFonts w:ascii="Calibri" w:cs="Calibri" w:eastAsia="Calibri" w:hAnsi="Calibri"/>
          <w:sz w:val="24"/>
          <w:szCs w:val="24"/>
        </w:rPr>
        <w:t xml:space="preserve">Población de Lambayeque de los niveles socioeconómicos B, C y D.</w:t>
      </w:r>
    </w:p>
    <w:p>
      <w:pPr>
        <w:pStyle w:val="ListParagraph"/>
        <w:numPr>
          <w:ilvl w:val="0"/>
          <w:numId w:val="2"/>
        </w:numPr>
        <w:spacing w:after="80" w:line="360"/>
        <w:jc w:val="both"/>
      </w:pPr>
      <w:r>
        <w:rPr>
          <w:rFonts w:ascii="Calibri" w:cs="Calibri" w:eastAsia="Calibri" w:hAnsi="Calibri"/>
          <w:sz w:val="24"/>
          <w:szCs w:val="24"/>
        </w:rPr>
        <w:t xml:space="preserve">Que tenga entre 15 y 29 años de edad (definición de juventud de la Ley N.° 27802).</w:t>
      </w:r>
    </w:p>
    <w:p>
      <w:pPr>
        <w:pStyle w:val="ListParagraph"/>
        <w:numPr>
          <w:ilvl w:val="0"/>
          <w:numId w:val="2"/>
        </w:numPr>
        <w:spacing w:after="80" w:line="360"/>
        <w:jc w:val="both"/>
      </w:pPr>
      <w:r>
        <w:rPr>
          <w:rFonts w:ascii="Calibri" w:cs="Calibri" w:eastAsia="Calibri" w:hAnsi="Calibri"/>
          <w:sz w:val="24"/>
          <w:szCs w:val="24"/>
        </w:rPr>
        <w:t xml:space="preserve">Que no se encuentre cursando estudios superiores (jóvenes que solo trabajan o que no estudian ni trabajan).</w:t>
      </w:r>
    </w:p>
    <w:p>
      <w:pPr>
        <w:spacing w:after="120" w:line="360"/>
        <w:jc w:val="both"/>
      </w:pPr>
      <w:r>
        <w:rPr>
          <w:rFonts w:ascii="Calibri" w:cs="Calibri" w:eastAsia="Calibri" w:hAnsi="Calibri"/>
          <w:sz w:val="24"/>
          <w:szCs w:val="24"/>
        </w:rPr>
        <w:t xml:space="preserve">Para la estimación se utilizan fuentes oficiales y de mercado disponibles. Dado que no se cuenta aún con una encuesta propia de intención vocacional, las cifras de las Tablas 1 a 4 son </w:t>
      </w:r>
      <w:r>
        <w:rPr>
          <w:rFonts w:ascii="Calibri" w:cs="Calibri" w:eastAsia="Calibri" w:hAnsi="Calibri"/>
          <w:b/>
          <w:bCs/>
          <w:sz w:val="24"/>
          <w:szCs w:val="24"/>
        </w:rPr>
        <w:t xml:space="preserve">estimaciones referenciales</w:t>
      </w:r>
      <w:r>
        <w:rPr>
          <w:rFonts w:ascii="Calibri" w:cs="Calibri" w:eastAsia="Calibri" w:hAnsi="Calibri"/>
          <w:sz w:val="24"/>
          <w:szCs w:val="24"/>
        </w:rPr>
        <w:t xml:space="preserve"> construidas con supuestos explícitos, que deberán reemplazarse con los resultados de dicha encuesta </w:t>
      </w:r>
      <w:r>
        <w:rPr>
          <w:rFonts w:ascii="Calibri" w:cs="Calibri" w:eastAsia="Calibri" w:hAnsi="Calibri"/>
          <w:b/>
          <w:bCs/>
          <w:sz w:val="24"/>
          <w:szCs w:val="24"/>
          <w:shd w:fill="FFFF00" w:color="auto" w:val="clear"/>
        </w:rPr>
        <w:t xml:space="preserve">[VERIFICAR]</w:t>
      </w:r>
      <w:r>
        <w:rPr>
          <w:rFonts w:ascii="Calibri" w:cs="Calibri" w:eastAsia="Calibri" w:hAnsi="Calibri"/>
          <w:sz w:val="24"/>
          <w:szCs w:val="24"/>
        </w:rPr>
        <w:t xml:space="preserve">.</w:t>
      </w:r>
    </w:p>
    <w:p>
      <w:pPr>
        <w:keepNext/>
        <w:spacing w:after="60" w:before="160"/>
        <w:jc w:val="center"/>
      </w:pPr>
      <w:r>
        <w:rPr>
          <w:rFonts w:ascii="Calibri" w:cs="Calibri" w:eastAsia="Calibri" w:hAnsi="Calibri"/>
          <w:sz w:val="22"/>
          <w:szCs w:val="22"/>
        </w:rPr>
        <w:t xml:space="preserve">Tabla 1. Población de Lambayeque según nivel socioeconómico, 2026</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1000"/>
        <w:gridCol w:w="1000"/>
        <w:gridCol w:w="1200"/>
      </w:tblGrid>
      <w:tr>
        <w:trPr>
          <w:tblHeader/>
        </w:trPr>
        <w:tc>
          <w:tcPr>
            <w:tcW w:type="dxa" w:w="32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Concepto</w:t>
            </w:r>
          </w:p>
        </w:tc>
        <w:tc>
          <w:tcPr>
            <w:tcW w:type="dxa" w:w="10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NSE AB</w:t>
            </w:r>
          </w:p>
        </w:tc>
        <w:tc>
          <w:tcPr>
            <w:tcW w:type="dxa" w:w="10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NSE C</w:t>
            </w:r>
          </w:p>
        </w:tc>
        <w:tc>
          <w:tcPr>
            <w:tcW w:type="dxa" w:w="10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NSE D</w:t>
            </w:r>
          </w:p>
        </w:tc>
        <w:tc>
          <w:tcPr>
            <w:tcW w:type="dxa" w:w="10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NSE E</w:t>
            </w:r>
          </w:p>
        </w:tc>
        <w:tc>
          <w:tcPr>
            <w:tcW w:type="dxa" w:w="12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Total</w:t>
            </w:r>
          </w:p>
        </w:tc>
      </w:tr>
      <w:tr>
        <w:trPr>
          <w:cantSplit/>
        </w:trPr>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Estructura socioeconómica de personas (%)</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6,8</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29,9</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42,2</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21,2</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100,0</w:t>
            </w:r>
          </w:p>
        </w:tc>
      </w:tr>
      <w:tr>
        <w:trPr>
          <w:cantSplit/>
        </w:trPr>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Población proyectada 2026 (hab.)</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96 077</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422 457</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596 244</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299 535</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1 412 900</w:t>
            </w:r>
          </w:p>
        </w:tc>
      </w:tr>
    </w:tbl>
    <w:p>
      <w:pPr>
        <w:spacing w:after="160"/>
        <w:ind w:left="300"/>
      </w:pPr>
      <w:r>
        <w:rPr>
          <w:rFonts w:ascii="Arial" w:cs="Arial" w:eastAsia="Arial" w:hAnsi="Arial"/>
          <w:b/>
          <w:bCs/>
          <w:i/>
          <w:iCs/>
          <w:sz w:val="14"/>
          <w:szCs w:val="14"/>
        </w:rPr>
        <w:t xml:space="preserve">Fuente: APEIM, Niveles Socioeconómicos 2025 – Informe completo (data ENAHO 2024), distribución de personas por departamento, p. 45 (muestra de Lambayeque: 4 703 casos; error ±1,4 %); población proyectada 2026, CPI Research, Market Report N° 003 – Proyecciones Poblacionales 2025, cuadros 2 y 5. La suma por NSE puede diferir del total por redondeo.</w:t>
      </w:r>
    </w:p>
    <w:p>
      <w:pPr>
        <w:keepNext/>
        <w:spacing w:after="60" w:before="160"/>
        <w:jc w:val="center"/>
      </w:pPr>
      <w:r>
        <w:rPr>
          <w:rFonts w:ascii="Calibri" w:cs="Calibri" w:eastAsia="Calibri" w:hAnsi="Calibri"/>
          <w:sz w:val="22"/>
          <w:szCs w:val="22"/>
        </w:rPr>
        <w:t xml:space="preserve">Tabla 2. Jóvenes de 15 a 29 años de Lambayeque según condición de estudio y trabajo, 2024</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2400"/>
      </w:tblGrid>
      <w:tr>
        <w:trPr>
          <w:tblHeader/>
        </w:trPr>
        <w:tc>
          <w:tcPr>
            <w:tcW w:type="dxa" w:w="46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Condición</w:t>
            </w:r>
          </w:p>
        </w:tc>
        <w:tc>
          <w:tcPr>
            <w:tcW w:type="dxa" w:w="12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w:t>
            </w:r>
          </w:p>
        </w:tc>
        <w:tc>
          <w:tcPr>
            <w:tcW w:type="dxa" w:w="24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Jóvenes</w:t>
            </w:r>
          </w:p>
        </w:tc>
      </w:tr>
      <w:tr>
        <w:trPr>
          <w:cantSplit/>
        </w:trPr>
        <w:tc>
          <w:tcPr>
            <w:tcW w:type="dxa" w:w="4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Solo trabajan</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42,3</w:t>
            </w:r>
          </w:p>
        </w:tc>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139 875</w:t>
            </w:r>
          </w:p>
        </w:tc>
      </w:tr>
      <w:tr>
        <w:trPr>
          <w:cantSplit/>
        </w:trPr>
        <w:tc>
          <w:tcPr>
            <w:tcW w:type="dxa" w:w="4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Solo estudian</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26,7</w:t>
            </w:r>
          </w:p>
        </w:tc>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88 290</w:t>
            </w:r>
          </w:p>
        </w:tc>
      </w:tr>
      <w:tr>
        <w:trPr>
          <w:cantSplit/>
        </w:trPr>
        <w:tc>
          <w:tcPr>
            <w:tcW w:type="dxa" w:w="4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Estudian y trabajan</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11,4</w:t>
            </w:r>
          </w:p>
        </w:tc>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37 697</w:t>
            </w:r>
          </w:p>
        </w:tc>
      </w:tr>
      <w:tr>
        <w:trPr>
          <w:cantSplit/>
        </w:trPr>
        <w:tc>
          <w:tcPr>
            <w:tcW w:type="dxa" w:w="4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No estudian ni trabajan (NINI)</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19,7</w:t>
            </w:r>
          </w:p>
        </w:tc>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65 097</w:t>
            </w:r>
          </w:p>
        </w:tc>
      </w:tr>
      <w:tr>
        <w:trPr>
          <w:cantSplit/>
        </w:trPr>
        <w:tc>
          <w:tcPr>
            <w:tcW w:type="dxa" w:w="4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Total jóvenes de 15 a 29 años</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100,0</w:t>
            </w:r>
          </w:p>
        </w:tc>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330 674</w:t>
            </w:r>
          </w:p>
        </w:tc>
      </w:tr>
      <w:tr>
        <w:trPr>
          <w:cantSplit/>
        </w:trPr>
        <w:tc>
          <w:tcPr>
            <w:tcW w:type="dxa" w:w="4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Jóvenes que no estudian (solo trabajan + NINI)</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62,0</w:t>
            </w:r>
          </w:p>
        </w:tc>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205 018</w:t>
            </w:r>
          </w:p>
        </w:tc>
      </w:tr>
      <w:tr>
        <w:trPr>
          <w:cantSplit/>
        </w:trPr>
        <w:tc>
          <w:tcPr>
            <w:tcW w:type="dxa" w:w="4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Jóvenes que no estudian, en NSE AB, C y D (78,8 %)</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w:t>
            </w:r>
          </w:p>
        </w:tc>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161 554</w:t>
            </w:r>
          </w:p>
        </w:tc>
      </w:tr>
    </w:tbl>
    <w:p>
      <w:pPr>
        <w:spacing w:after="160"/>
        <w:ind w:left="300"/>
      </w:pPr>
      <w:r>
        <w:rPr>
          <w:rFonts w:ascii="Arial" w:cs="Arial" w:eastAsia="Arial" w:hAnsi="Arial"/>
          <w:b/>
          <w:bCs/>
          <w:i/>
          <w:iCs/>
          <w:sz w:val="14"/>
          <w:szCs w:val="14"/>
        </w:rPr>
        <w:t xml:space="preserve">Fuente: INEI – ENAHO 2024, en GRTPE–OSEL Lambayeque, Mercado laboral de los jóvenes en la región Lambayeque (2025), p. 56; NSE de Lambayeque, APEIM 2025 (p. 45). Elaboración propia para las dos últimas filas. El NSE AB se incluye completo porque APEIM no separa el NSE B a nivel departamental; el NSE A es una fracción menor (1,0 % a nivel nacional).</w:t>
      </w:r>
    </w:p>
    <w:p>
      <w:pPr>
        <w:spacing w:after="120" w:line="360"/>
        <w:jc w:val="both"/>
      </w:pPr>
      <w:r>
        <w:rPr>
          <w:rFonts w:ascii="Calibri" w:cs="Calibri" w:eastAsia="Calibri" w:hAnsi="Calibri"/>
          <w:sz w:val="24"/>
          <w:szCs w:val="24"/>
        </w:rPr>
        <w:t xml:space="preserve">La población objetivo se aproxima con los jóvenes de 15 a 29 años que no estudian, es decir, los que solo trabajan o no estudian ni trabajan (NINI), pertenecientes a los NSE B, C y D (se usa el agregado AB, C y D, que representa el 78,8 % de la población de Lambayeque). Este grupo corresponde al criterio de no estar cursando estudios superiores. Cabe resaltar que Lambayeque ocupa el </w:t>
      </w:r>
      <w:r>
        <w:rPr>
          <w:rFonts w:ascii="Calibri" w:cs="Calibri" w:eastAsia="Calibri" w:hAnsi="Calibri"/>
          <w:b/>
          <w:bCs/>
          <w:sz w:val="24"/>
          <w:szCs w:val="24"/>
        </w:rPr>
        <w:t xml:space="preserve">cuarto lugar nacional en proporción de jóvenes NINI (19,7 %)</w:t>
      </w:r>
      <w:r>
        <w:rPr>
          <w:rFonts w:ascii="Calibri" w:cs="Calibri" w:eastAsia="Calibri" w:hAnsi="Calibri"/>
          <w:sz w:val="24"/>
          <w:szCs w:val="24"/>
        </w:rPr>
        <w:t xml:space="preserve">, con 65 097 jóvenes en esa condición en 2024 (OSEL, 2025, pp. 54-56), lo que evidencia la necesidad de ampliar la oferta formativa pertinente.</w:t>
      </w:r>
    </w:p>
    <w:p>
      <w:pPr>
        <w:keepNext/>
        <w:spacing w:after="60" w:before="160"/>
        <w:jc w:val="center"/>
      </w:pPr>
      <w:r>
        <w:rPr>
          <w:rFonts w:ascii="Calibri" w:cs="Calibri" w:eastAsia="Calibri" w:hAnsi="Calibri"/>
          <w:sz w:val="22"/>
          <w:szCs w:val="22"/>
        </w:rPr>
        <w:t xml:space="preserve">Tabla 3. Población objetivo proyectada (2027-2033)</w:t>
      </w:r>
    </w:p>
    <w:tbl>
      <w:tblPr>
        <w:tblW w:type="dxa" w:w="844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820"/>
        <w:gridCol w:w="820"/>
        <w:gridCol w:w="820"/>
        <w:gridCol w:w="820"/>
        <w:gridCol w:w="820"/>
        <w:gridCol w:w="820"/>
        <w:gridCol w:w="820"/>
      </w:tblGrid>
      <w:tr>
        <w:trPr>
          <w:tblHeader/>
        </w:trPr>
        <w:tc>
          <w:tcPr>
            <w:tcW w:type="dxa" w:w="27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2027</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2028</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2029</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2030</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2031</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2032</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2033</w:t>
            </w:r>
          </w:p>
        </w:tc>
      </w:tr>
      <w:tr>
        <w:trPr>
          <w:cantSplit/>
        </w:trPr>
        <w:tc>
          <w:tcPr>
            <w:tcW w:type="dxa" w:w="2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Población objetivo proyectada</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160 402</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160 020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159 639</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159 259</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158 879</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158 501</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158 123</w:t>
            </w:r>
          </w:p>
        </w:tc>
      </w:tr>
    </w:tbl>
    <w:p>
      <w:pPr>
        <w:spacing w:after="160"/>
        <w:ind w:left="300"/>
      </w:pPr>
      <w:r>
        <w:rPr>
          <w:rFonts w:ascii="Arial" w:cs="Arial" w:eastAsia="Arial" w:hAnsi="Arial"/>
          <w:b/>
          <w:bCs/>
          <w:i/>
          <w:iCs/>
          <w:sz w:val="14"/>
          <w:szCs w:val="14"/>
        </w:rPr>
        <w:t xml:space="preserve">Fuente: elaboración propia. Proyección con la variación de la población de 15 a 29 años de Lambayeque 2024-2025 estimada por el INEI (−0,24 % anual; 309 375 a 308 638 jóvenes; SIRTOD, en OSEL 2025, p. 14).</w:t>
      </w:r>
    </w:p>
    <w:p>
      <w:pPr>
        <w:keepNext/>
        <w:spacing w:after="60" w:before="160"/>
        <w:jc w:val="center"/>
      </w:pPr>
      <w:r>
        <w:rPr>
          <w:rFonts w:ascii="Calibri" w:cs="Calibri" w:eastAsia="Calibri" w:hAnsi="Calibri"/>
          <w:sz w:val="22"/>
          <w:szCs w:val="22"/>
        </w:rPr>
        <w:t xml:space="preserve">Tabla 4. Demanda proyectada de la carrera de Farmacia y Bioquímica por el público objetivo 2027-2033 (escenarios)</w:t>
      </w:r>
    </w:p>
    <w:tbl>
      <w:tblPr>
        <w:tblW w:type="dxa" w:w="844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820"/>
        <w:gridCol w:w="820"/>
        <w:gridCol w:w="820"/>
        <w:gridCol w:w="820"/>
        <w:gridCol w:w="820"/>
        <w:gridCol w:w="820"/>
        <w:gridCol w:w="820"/>
      </w:tblGrid>
      <w:tr>
        <w:trPr>
          <w:tblHeader/>
        </w:trPr>
        <w:tc>
          <w:tcPr>
            <w:tcW w:type="dxa" w:w="27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Escenario de interés</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2027</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2028</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2029</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2030</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2031</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2032</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2033</w:t>
            </w:r>
          </w:p>
        </w:tc>
      </w:tr>
      <w:tr>
        <w:trPr>
          <w:cantSplit/>
        </w:trPr>
        <w:tc>
          <w:tcPr>
            <w:tcW w:type="dxa" w:w="2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Conservador (1 %)</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1 604</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1 600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1 596</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1 593</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1 589</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1 585</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1 581</w:t>
            </w:r>
          </w:p>
        </w:tc>
      </w:tr>
      <w:tr>
        <w:trPr>
          <w:cantSplit/>
        </w:trPr>
        <w:tc>
          <w:tcPr>
            <w:tcW w:type="dxa" w:w="2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Medio (2 %)</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3 208</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3 200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3 193</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3 185</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3 178</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3 170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3 162</w:t>
            </w:r>
          </w:p>
        </w:tc>
      </w:tr>
      <w:tr>
        <w:trPr>
          <w:cantSplit/>
        </w:trPr>
        <w:tc>
          <w:tcPr>
            <w:tcW w:type="dxa" w:w="2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Alto (3 %)</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4 812</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4 801</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4 789</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4 778</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4 766</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4 755</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4 744</w:t>
            </w:r>
          </w:p>
        </w:tc>
      </w:tr>
    </w:tbl>
    <w:p>
      <w:pPr>
        <w:spacing w:after="160"/>
        <w:ind w:left="300"/>
      </w:pPr>
      <w:r>
        <w:rPr>
          <w:rFonts w:ascii="Arial" w:cs="Arial" w:eastAsia="Arial" w:hAnsi="Arial"/>
          <w:b/>
          <w:bCs/>
          <w:i/>
          <w:iCs/>
          <w:sz w:val="14"/>
          <w:szCs w:val="14"/>
        </w:rPr>
        <w:t xml:space="preserve">Fuente: elaboración propia. Los escenarios se acotan con dos referencias: a nivel nacional, el 2,6 % de la población de 17 años a más que estudió o estudia educación superior no universitaria eligió carreras relacionadas con Farmacia y Bioquímica en 2018 (INEI, Indicadores de Educación por Departamentos 2008-2018, cap. 5, p. 8); y en el estudio DQE Norte 2025 de Arellano, Medicina concentra el 13 % de las preferencias y Farmacia no figura entre las cinco primeras (&lt; 6 %). Reemplazar por la tasa de interés efectivo de la encuesta propia (Anexo) </w:t>
      </w:r>
      <w:r>
        <w:rPr>
          <w:rFonts w:ascii="Arial" w:cs="Arial" w:eastAsia="Arial" w:hAnsi="Arial"/>
          <w:b/>
          <w:bCs/>
          <w:i/>
          <w:iCs/>
          <w:sz w:val="14"/>
          <w:szCs w:val="14"/>
          <w:shd w:fill="FFFF00" w:color="auto" w:val="clear"/>
        </w:rPr>
        <w:t xml:space="preserve">[VERIFICAR]</w:t>
      </w:r>
      <w:r>
        <w:rPr>
          <w:rFonts w:ascii="Arial" w:cs="Arial" w:eastAsia="Arial" w:hAnsi="Arial"/>
          <w:b/>
          <w:bCs/>
          <w:i/>
          <w:iCs/>
          <w:sz w:val="14"/>
          <w:szCs w:val="14"/>
        </w:rPr>
        <w:t xml:space="preserve">.</w:t>
      </w:r>
    </w:p>
    <w:p>
      <w:pPr>
        <w:keepNext/>
        <w:spacing w:after="100" w:before="160" w:line="360"/>
        <w:jc w:val="both"/>
      </w:pPr>
      <w:r>
        <w:rPr>
          <w:rFonts w:ascii="Calibri" w:cs="Calibri" w:eastAsia="Calibri" w:hAnsi="Calibri"/>
          <w:b/>
          <w:bCs/>
          <w:sz w:val="24"/>
          <w:szCs w:val="24"/>
        </w:rPr>
        <w:t xml:space="preserve">5.1.1. Validación de las fuentes de mercado e interés vocacional</w:t>
      </w:r>
    </w:p>
    <w:p>
      <w:pPr>
        <w:spacing w:after="120" w:line="360"/>
        <w:jc w:val="both"/>
      </w:pPr>
      <w:r>
        <w:rPr>
          <w:rFonts w:ascii="Calibri" w:cs="Calibri" w:eastAsia="Calibri" w:hAnsi="Calibri"/>
          <w:sz w:val="24"/>
          <w:szCs w:val="24"/>
        </w:rPr>
        <w:t xml:space="preserve">Los datos sobre la preferencia vocacional y el posicionamiento institucional se sustentan en tres fuentes principales del sector educativo y laboral peruano:</w:t>
      </w:r>
    </w:p>
    <w:p>
      <w:pPr>
        <w:spacing w:after="120" w:line="360"/>
        <w:jc w:val="both"/>
      </w:pPr>
      <w:r>
        <w:rPr>
          <w:rFonts w:ascii="Calibri" w:cs="Calibri" w:eastAsia="Calibri" w:hAnsi="Calibri"/>
          <w:b/>
          <w:bCs/>
          <w:sz w:val="24"/>
          <w:szCs w:val="24"/>
        </w:rPr>
        <w:t xml:space="preserve">a) Arellano Consultoría – estudio "Dónde Quiero Estudiar (DQE) – Universidades Norte".</w:t>
      </w:r>
      <w:r>
        <w:rPr>
          <w:rFonts w:ascii="Calibri" w:cs="Calibri" w:eastAsia="Calibri" w:hAnsi="Calibri"/>
          <w:sz w:val="24"/>
          <w:szCs w:val="24"/>
        </w:rPr>
        <w:t xml:space="preserve"> Analiza las necesidades, motivaciones, expectativas, barreras y atributos que influyen en la elección de una universidad, así como indicadores de marca (recordación, consideración, preferencia, prestigio y confianza), con cobertura en Trujillo, Piura, Chiclayo y Chimbote. En la edición 2025, la UTP fue la primera opción para el 19 % de los potenciales universitarios encuestados de la zona norte, seguida por la UCV (16 %) y la UPAO (14 %); su preferencia fue especialmente relevante entre jóvenes de Piura, Lambayeque y Áncash. Entre las primeras opciones de carrera en el norte figuran Medicina (13 %), Derecho (13 %), Administración de Empresas (11 %), Ingeniería Civil (9 %) e Ingeniería de Sistemas (6 %). La encuesta consideró jóvenes de 15 a 23 años (estudiantes de cuarto y quinto de secundaria y egresados) de los NSE A, B, C y D con intención de estudiar una carrera universitaria; 1 264 casos en la zona norte (Piura, La Libertad, Lambayeque y Áncash); cuestionarios digitales estructurados aplicados mediante panel; y trabajo de campo del 23 de septiembre al 31 de octubre de 2025 (Gestión, sobre Arellano). </w:t>
      </w:r>
      <w:r>
        <w:rPr>
          <w:rFonts w:ascii="Calibri" w:cs="Calibri" w:eastAsia="Calibri" w:hAnsi="Calibri"/>
          <w:b/>
          <w:bCs/>
          <w:sz w:val="24"/>
          <w:szCs w:val="24"/>
        </w:rPr>
        <w:t xml:space="preserve">Precisiones:</w:t>
      </w:r>
      <w:r>
        <w:rPr>
          <w:rFonts w:ascii="Calibri" w:cs="Calibri" w:eastAsia="Calibri" w:hAnsi="Calibri"/>
          <w:sz w:val="24"/>
          <w:szCs w:val="24"/>
        </w:rPr>
        <w:t xml:space="preserve"> los porcentajes corresponden a la zona norte en conjunto y no a Chiclayo en particular; y las fuentes públicas no permiten atribuir la preferencia por la UTP a atributos específicos, lo que requeriría el informe completo de Arellano o su ficha técnica oficial. Estos resultados muestran que la demanda universitaria del norte es sensible a la oferta privada con posicionamiento regional, espacio en el que la USS compite como la universidad de mayor matrícula de Lambayeque.</w:t>
      </w:r>
    </w:p>
    <w:p>
      <w:pPr>
        <w:spacing w:after="120" w:line="360"/>
        <w:jc w:val="both"/>
      </w:pPr>
      <w:r>
        <w:rPr>
          <w:rFonts w:ascii="Calibri" w:cs="Calibri" w:eastAsia="Calibri" w:hAnsi="Calibri"/>
          <w:b/>
          <w:bCs/>
          <w:sz w:val="24"/>
          <w:szCs w:val="24"/>
        </w:rPr>
        <w:t xml:space="preserve">b) Oferta universitaria reciente (portales de transparencia) y portal "Mi Carrera" (MTPE).</w:t>
      </w:r>
      <w:r>
        <w:rPr>
          <w:rFonts w:ascii="Calibri" w:cs="Calibri" w:eastAsia="Calibri" w:hAnsi="Calibri"/>
          <w:sz w:val="24"/>
          <w:szCs w:val="24"/>
        </w:rPr>
        <w:t xml:space="preserve"> La UTP abrió la carrera de Farmacia y Bioquímica en 2025 y en su primer año registró </w:t>
      </w:r>
      <w:r>
        <w:rPr>
          <w:rFonts w:ascii="Calibri" w:cs="Calibri" w:eastAsia="Calibri" w:hAnsi="Calibri"/>
          <w:b/>
          <w:bCs/>
          <w:sz w:val="24"/>
          <w:szCs w:val="24"/>
        </w:rPr>
        <w:t xml:space="preserve">276 postulantes y 240 ingresantes</w:t>
      </w:r>
      <w:r>
        <w:rPr>
          <w:rFonts w:ascii="Calibri" w:cs="Calibri" w:eastAsia="Calibri" w:hAnsi="Calibri"/>
          <w:sz w:val="24"/>
          <w:szCs w:val="24"/>
        </w:rPr>
        <w:t xml:space="preserve"> a nivel nacional (201 y 186 en 2025-1; 75 y 54 en 2025-2), con </w:t>
      </w:r>
      <w:r>
        <w:rPr>
          <w:rFonts w:ascii="Calibri" w:cs="Calibri" w:eastAsia="Calibri" w:hAnsi="Calibri"/>
          <w:b/>
          <w:bCs/>
          <w:sz w:val="24"/>
          <w:szCs w:val="24"/>
        </w:rPr>
        <w:t xml:space="preserve">158 matriculados</w:t>
      </w:r>
      <w:r>
        <w:rPr>
          <w:rFonts w:ascii="Calibri" w:cs="Calibri" w:eastAsia="Calibri" w:hAnsi="Calibri"/>
          <w:sz w:val="24"/>
          <w:szCs w:val="24"/>
        </w:rPr>
        <w:t xml:space="preserve"> en 2025-I y 144 en 2025-II (UTP, Postulantes e ingresantes pregrado 2022-2025, pp. 1 y 3). Ello evidencia una demanda efectiva inmediata por la carrera. Complementariamente, el portal </w:t>
      </w:r>
      <w:r>
        <w:rPr>
          <w:rFonts w:ascii="Calibri" w:cs="Calibri" w:eastAsia="Calibri" w:hAnsi="Calibri"/>
          <w:b/>
          <w:bCs/>
          <w:sz w:val="24"/>
          <w:szCs w:val="24"/>
        </w:rPr>
        <w:t xml:space="preserve">Mi Carrera del MTPE</w:t>
      </w:r>
      <w:r>
        <w:rPr>
          <w:rFonts w:ascii="Calibri" w:cs="Calibri" w:eastAsia="Calibri" w:hAnsi="Calibri"/>
          <w:sz w:val="24"/>
          <w:szCs w:val="24"/>
        </w:rPr>
        <w:t xml:space="preserve"> ubica a </w:t>
      </w:r>
      <w:r>
        <w:rPr>
          <w:rFonts w:ascii="Calibri" w:cs="Calibri" w:eastAsia="Calibri" w:hAnsi="Calibri"/>
          <w:b/>
          <w:bCs/>
          <w:sz w:val="24"/>
          <w:szCs w:val="24"/>
        </w:rPr>
        <w:t xml:space="preserve">Farmacia en el sexto lugar entre las 30 familias de carreras universitarias más demandadas en Lambayeque</w:t>
      </w:r>
      <w:r>
        <w:rPr>
          <w:rFonts w:ascii="Calibri" w:cs="Calibri" w:eastAsia="Calibri" w:hAnsi="Calibri"/>
          <w:sz w:val="24"/>
          <w:szCs w:val="24"/>
        </w:rPr>
        <w:t xml:space="preserve">, después de Sistemas y Cómputo, Contabilidad e Impuestos, Enfermería, Educación Primaria y Educación Inicial (consulta del 26/09/2026). El ranking se construye con la Encuesta de Demanda Ocupacional 2024 del MTPE (cuadro "Perú: puestos de trabajo a contratar para profesionales universitarios, según carreras, 2025"), con familias de carreras agrupadas a 3 dígitos según el Clasificador Nacional de Programas e Instituciones de Educación Superior del INEI (2018); cada puesto puede solicitar más de una carrera y se consideran puestos de naturaleza continua y temporal. Las ciencias de la salud (Enfermería y Farmacia) aparecen así entre las seis familias con mayor demanda en la región.</w:t>
      </w:r>
    </w:p>
    <w:p>
      <w:pPr>
        <w:spacing w:after="120" w:line="360"/>
        <w:jc w:val="both"/>
      </w:pPr>
      <w:r>
        <w:rPr>
          <w:rFonts w:ascii="Calibri" w:cs="Calibri" w:eastAsia="Calibri" w:hAnsi="Calibri"/>
          <w:b/>
          <w:bCs/>
          <w:sz w:val="24"/>
          <w:szCs w:val="24"/>
        </w:rPr>
        <w:t xml:space="preserve">c) Observatorio Ocupacional del Ministerio de Trabajo (MTPE).</w:t>
      </w:r>
      <w:r>
        <w:rPr>
          <w:rFonts w:ascii="Calibri" w:cs="Calibri" w:eastAsia="Calibri" w:hAnsi="Calibri"/>
          <w:sz w:val="24"/>
          <w:szCs w:val="24"/>
        </w:rPr>
        <w:t xml:space="preserve"> Para Lambayeque, la Encuesta de Demanda Ocupacional 2023 ubica a </w:t>
      </w:r>
      <w:r>
        <w:rPr>
          <w:rFonts w:ascii="Calibri" w:cs="Calibri" w:eastAsia="Calibri" w:hAnsi="Calibri"/>
          <w:b/>
          <w:bCs/>
          <w:sz w:val="24"/>
          <w:szCs w:val="24"/>
        </w:rPr>
        <w:t xml:space="preserve">Farmacia y Bioquímica como la segunda carrera técnica más demandada en 2024</w:t>
      </w:r>
      <w:r>
        <w:rPr>
          <w:rFonts w:ascii="Calibri" w:cs="Calibri" w:eastAsia="Calibri" w:hAnsi="Calibri"/>
          <w:sz w:val="24"/>
          <w:szCs w:val="24"/>
        </w:rPr>
        <w:t xml:space="preserve"> (técnicos de 1 a 2 años), y a Medicina y Enfermería entre las carreras universitarias más requeridas (MTPE, Demanda de ocupaciones en Lambayeque 2024, pp. 14-15). Esto muestra una demanda sostenida de personal especializado en salud, diagnóstico y gestión de medicamentos, impulsada por la expansión de las redes hospitalarias públicas y privadas en Chiclayo.</w:t>
      </w:r>
    </w:p>
    <w:p>
      <w:pPr>
        <w:spacing w:after="120" w:line="360"/>
        <w:jc w:val="both"/>
      </w:pPr>
      <w:r>
        <w:rPr>
          <w:rFonts w:ascii="Calibri" w:cs="Calibri" w:eastAsia="Calibri" w:hAnsi="Calibri"/>
          <w:b/>
          <w:bCs/>
          <w:sz w:val="24"/>
          <w:szCs w:val="24"/>
        </w:rPr>
        <w:t xml:space="preserve">d) Estudios de orientación vocacional en Lambayeque.</w:t>
      </w:r>
      <w:r>
        <w:rPr>
          <w:rFonts w:ascii="Calibri" w:cs="Calibri" w:eastAsia="Calibri" w:hAnsi="Calibri"/>
          <w:sz w:val="24"/>
          <w:szCs w:val="24"/>
        </w:rPr>
        <w:t xml:space="preserve"> Investigaciones recientes con escolares de la región describen el proceso de elección de carrera: un cuestionario de 27 ítems diseñado y validado para estudiantes de secundaria de Lambayeque, con tres dimensiones (factores personales, de agencia o capacidad de decisión y ambientales), V de Aiken = 1,00 y alfa de Cronbach = 0,904 (Villalobos Véliz et al., 2026, Areté 12(23)); una encuesta a estudiantes de quinto de secundaria de 15 a 17 años de colegios urbanos de Lambayeque (universo de 248 estudiantes; Revista EPT, USS); una encuesta en la I.E.P. Santa Lucía de Lambayeque sobre los factores de elección profesional (Repositorio USS); y un estudio con 31 estudiantes de quinto de secundaria de Chiclayo (Repositorio UPC). Además, la Gerencia Regional de Educación implementó la plataforma "Mi Carrera en tu Cole" para estudiantes de cuarto y quinto de secundaria. Estos estudios coinciden en que la elección de carrera depende de factores personales, familiares y económicos, y en que la orientación vocacional en los colegios es limitada; sin embargo, </w:t>
      </w:r>
      <w:r>
        <w:rPr>
          <w:rFonts w:ascii="Calibri" w:cs="Calibri" w:eastAsia="Calibri" w:hAnsi="Calibri"/>
          <w:b/>
          <w:bCs/>
          <w:sz w:val="24"/>
          <w:szCs w:val="24"/>
        </w:rPr>
        <w:t xml:space="preserve">ninguno reporta el porcentaje de escolares interesados en Farmacia y Bioquímica</w:t>
      </w:r>
      <w:r>
        <w:rPr>
          <w:rFonts w:ascii="Calibri" w:cs="Calibri" w:eastAsia="Calibri" w:hAnsi="Calibri"/>
          <w:sz w:val="24"/>
          <w:szCs w:val="24"/>
        </w:rPr>
        <w:t xml:space="preserve">. Por ello, se propone aplicar una encuesta propia de intención vocacional (Anexo), basada en las dimensiones del instrumento validado, cuyo resultado reemplazará los escenarios de la Tabla 4.</w:t>
      </w:r>
    </w:p>
    <w:p>
      <w:pPr>
        <w:keepNext/>
        <w:spacing w:after="120" w:before="200"/>
        <w:ind w:left="284"/>
      </w:pPr>
      <w:r>
        <w:rPr>
          <w:rFonts w:ascii="Calibri" w:cs="Calibri" w:eastAsia="Calibri" w:hAnsi="Calibri"/>
          <w:color w:val="323E4F"/>
          <w:sz w:val="26"/>
          <w:szCs w:val="26"/>
        </w:rPr>
        <w:t xml:space="preserve">5.2.- Oferta educativa</w:t>
      </w:r>
    </w:p>
    <w:p>
      <w:pPr>
        <w:spacing w:after="120" w:line="360"/>
        <w:jc w:val="both"/>
      </w:pPr>
      <w:r>
        <w:rPr>
          <w:rFonts w:ascii="Calibri" w:cs="Calibri" w:eastAsia="Calibri" w:hAnsi="Calibri"/>
          <w:sz w:val="24"/>
          <w:szCs w:val="24"/>
        </w:rPr>
        <w:t xml:space="preserve">En la región Lambayeque, la oferta licenciada de Farmacia y Bioquímica es reducida. Varias universidades que ofrecían la carrera o que operaban en Chiclayo no obtuvieron el licenciamiento institucional de la SUNEDU y se encuentran en proceso de cese.</w:t>
      </w:r>
    </w:p>
    <w:p>
      <w:pPr>
        <w:keepNext/>
        <w:spacing w:after="60" w:before="160"/>
        <w:jc w:val="center"/>
      </w:pPr>
      <w:r>
        <w:rPr>
          <w:rFonts w:ascii="Calibri" w:cs="Calibri" w:eastAsia="Calibri" w:hAnsi="Calibri"/>
          <w:sz w:val="22"/>
          <w:szCs w:val="22"/>
        </w:rPr>
        <w:t xml:space="preserve">Tabla 5. Oferta educativa de Farmacia y Bioquímica en Lambayeque</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2000"/>
      </w:tblGrid>
      <w:tr>
        <w:trPr>
          <w:tblHeader/>
        </w:trPr>
        <w:tc>
          <w:tcPr>
            <w:tcW w:type="dxa" w:w="9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TIPO</w:t>
            </w:r>
          </w:p>
        </w:tc>
        <w:tc>
          <w:tcPr>
            <w:tcW w:type="dxa" w:w="37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UNIVERSIDAD</w:t>
            </w:r>
          </w:p>
        </w:tc>
        <w:tc>
          <w:tcPr>
            <w:tcW w:type="dxa" w:w="17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LICENCIA SUNEDU</w:t>
            </w:r>
          </w:p>
        </w:tc>
        <w:tc>
          <w:tcPr>
            <w:tcW w:type="dxa" w:w="20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FARMACIA Y BIOQUÍMICA</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Privada</w:t>
            </w:r>
          </w:p>
        </w:tc>
        <w:tc>
          <w:tcPr>
            <w:tcW w:type="dxa" w:w="3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Universidad Tecnológica del Perú (UTP) – Chiclayo</w:t>
            </w:r>
          </w:p>
        </w:tc>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Licenciada</w:t>
            </w:r>
          </w:p>
        </w:tc>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Sí, desde 2025</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Pública</w:t>
            </w:r>
          </w:p>
        </w:tc>
        <w:tc>
          <w:tcPr>
            <w:tcW w:type="dxa" w:w="3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Universidad Nacional Pedro Ruiz Gallo (UNPRG)</w:t>
            </w:r>
          </w:p>
        </w:tc>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Licenciada (2023)</w:t>
            </w:r>
          </w:p>
        </w:tc>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No ofrece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Privada</w:t>
            </w:r>
          </w:p>
        </w:tc>
        <w:tc>
          <w:tcPr>
            <w:tcW w:type="dxa" w:w="3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Universidad Señor de Sipán (USS)</w:t>
            </w:r>
          </w:p>
        </w:tc>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Licenciada</w:t>
            </w:r>
          </w:p>
        </w:tc>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No ofrece (programa propuesto)</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Privada</w:t>
            </w:r>
          </w:p>
        </w:tc>
        <w:tc>
          <w:tcPr>
            <w:tcW w:type="dxa" w:w="3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USAT, UCV y USMP (filial Chiclayo)</w:t>
            </w:r>
          </w:p>
        </w:tc>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Licenciadas</w:t>
            </w:r>
          </w:p>
        </w:tc>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No ofrecen</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Privada</w:t>
            </w:r>
          </w:p>
        </w:tc>
        <w:tc>
          <w:tcPr>
            <w:tcW w:type="dxa" w:w="3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Universidad de Chiclayo (UDCH)</w:t>
            </w:r>
          </w:p>
        </w:tc>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Denegada</w:t>
            </w:r>
          </w:p>
        </w:tc>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Ofrecía – en cese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Privada</w:t>
            </w:r>
          </w:p>
        </w:tc>
        <w:tc>
          <w:tcPr>
            <w:tcW w:type="dxa" w:w="3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Universidad de Lambayeque (UDL)</w:t>
            </w:r>
          </w:p>
        </w:tc>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Denegada</w:t>
            </w:r>
          </w:p>
        </w:tc>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En cese</w:t>
            </w:r>
          </w:p>
        </w:tc>
      </w:tr>
      <w:tr>
        <w:trPr>
          <w:cantSplit/>
        </w:trPr>
        <w:tc>
          <w:tcPr>
            <w:tcW w:type="dxa" w:w="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Privada</w:t>
            </w:r>
          </w:p>
        </w:tc>
        <w:tc>
          <w:tcPr>
            <w:tcW w:type="dxa" w:w="3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Universidad Privada Juan Mejía Baca (UMB)</w:t>
            </w:r>
          </w:p>
        </w:tc>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Denegada</w:t>
            </w:r>
          </w:p>
        </w:tc>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En cese</w:t>
            </w:r>
          </w:p>
        </w:tc>
      </w:tr>
    </w:tbl>
    <w:p>
      <w:pPr>
        <w:spacing w:after="160"/>
        <w:ind w:left="300"/>
      </w:pPr>
      <w:r>
        <w:rPr>
          <w:rFonts w:ascii="Arial" w:cs="Arial" w:eastAsia="Arial" w:hAnsi="Arial"/>
          <w:b/>
          <w:bCs/>
          <w:i/>
          <w:iCs/>
          <w:sz w:val="14"/>
          <w:szCs w:val="14"/>
        </w:rPr>
        <w:t xml:space="preserve">Fuente: SUNEDU; INEI – Compendio Estadístico Lambayeque 2024 (6 universidades licenciadas); OSEL (2025), pp. 47-50, que lista los graduados de la UNPRG por escuela profesional sin incluir Farmacia; portales institucionales.</w:t>
      </w:r>
    </w:p>
    <w:p>
      <w:pPr>
        <w:spacing w:after="120" w:line="360"/>
        <w:jc w:val="both"/>
      </w:pPr>
      <w:r>
        <w:rPr>
          <w:rFonts w:ascii="Calibri" w:cs="Calibri" w:eastAsia="Calibri" w:hAnsi="Calibri"/>
          <w:sz w:val="24"/>
          <w:szCs w:val="24"/>
        </w:rPr>
        <w:t xml:space="preserve">Para estimar la oferta educativa se utilizan las estadísticas publicadas en el portal de transparencia de la UTP, única universidad licenciada identificada con la carrera en la región (Tabla 6). La UTP reporta sus cifras consolidadas para todas sus sedes, por lo que el total nacional se toma como </w:t>
      </w:r>
      <w:r>
        <w:rPr>
          <w:rFonts w:ascii="Calibri" w:cs="Calibri" w:eastAsia="Calibri" w:hAnsi="Calibri"/>
          <w:b/>
          <w:bCs/>
          <w:sz w:val="24"/>
          <w:szCs w:val="24"/>
        </w:rPr>
        <w:t xml:space="preserve">tope superior</w:t>
      </w:r>
      <w:r>
        <w:rPr>
          <w:rFonts w:ascii="Calibri" w:cs="Calibri" w:eastAsia="Calibri" w:hAnsi="Calibri"/>
          <w:sz w:val="24"/>
          <w:szCs w:val="24"/>
        </w:rPr>
        <w:t xml:space="preserve"> de la oferta en Chiclayo.</w:t>
      </w:r>
    </w:p>
    <w:p>
      <w:pPr>
        <w:keepNext/>
        <w:spacing w:after="60" w:before="160"/>
        <w:jc w:val="center"/>
      </w:pPr>
      <w:r>
        <w:rPr>
          <w:rFonts w:ascii="Calibri" w:cs="Calibri" w:eastAsia="Calibri" w:hAnsi="Calibri"/>
          <w:sz w:val="22"/>
          <w:szCs w:val="22"/>
        </w:rPr>
        <w:t xml:space="preserve">Tabla 6. Postulantes e ingresantes a Farmacia y Bioquímica – UTP (todas las sedes), 2025</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1600"/>
      </w:tblGrid>
      <w:tr>
        <w:trPr>
          <w:tblHeader/>
        </w:trPr>
        <w:tc>
          <w:tcPr>
            <w:tcW w:type="dxa" w:w="34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Concepto</w:t>
            </w:r>
          </w:p>
        </w:tc>
        <w:tc>
          <w:tcPr>
            <w:tcW w:type="dxa" w:w="16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2025-1</w:t>
            </w:r>
          </w:p>
        </w:tc>
        <w:tc>
          <w:tcPr>
            <w:tcW w:type="dxa" w:w="16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2025-2</w:t>
            </w:r>
          </w:p>
        </w:tc>
        <w:tc>
          <w:tcPr>
            <w:tcW w:type="dxa" w:w="16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Total 2025</w:t>
            </w:r>
          </w:p>
        </w:tc>
      </w:tr>
      <w:tr>
        <w:trPr>
          <w:cantSplit/>
        </w:trPr>
        <w:tc>
          <w:tcPr>
            <w:tcW w:type="dxa" w:w="3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Postulantes</w:t>
            </w:r>
          </w:p>
        </w:tc>
        <w:tc>
          <w:tcPr>
            <w:tcW w:type="dxa" w:w="1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201</w:t>
            </w:r>
          </w:p>
        </w:tc>
        <w:tc>
          <w:tcPr>
            <w:tcW w:type="dxa" w:w="1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75</w:t>
            </w:r>
          </w:p>
        </w:tc>
        <w:tc>
          <w:tcPr>
            <w:tcW w:type="dxa" w:w="1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276</w:t>
            </w:r>
          </w:p>
        </w:tc>
      </w:tr>
      <w:tr>
        <w:trPr>
          <w:cantSplit/>
        </w:trPr>
        <w:tc>
          <w:tcPr>
            <w:tcW w:type="dxa" w:w="3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Ingresantes</w:t>
            </w:r>
          </w:p>
        </w:tc>
        <w:tc>
          <w:tcPr>
            <w:tcW w:type="dxa" w:w="1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186</w:t>
            </w:r>
          </w:p>
        </w:tc>
        <w:tc>
          <w:tcPr>
            <w:tcW w:type="dxa" w:w="1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54</w:t>
            </w:r>
          </w:p>
        </w:tc>
        <w:tc>
          <w:tcPr>
            <w:tcW w:type="dxa" w:w="1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240</w:t>
            </w:r>
          </w:p>
        </w:tc>
      </w:tr>
      <w:tr>
        <w:trPr>
          <w:cantSplit/>
        </w:trPr>
        <w:tc>
          <w:tcPr>
            <w:tcW w:type="dxa" w:w="3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Matriculados</w:t>
            </w:r>
          </w:p>
        </w:tc>
        <w:tc>
          <w:tcPr>
            <w:tcW w:type="dxa" w:w="1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158</w:t>
            </w:r>
          </w:p>
        </w:tc>
        <w:tc>
          <w:tcPr>
            <w:tcW w:type="dxa" w:w="1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144</w:t>
            </w:r>
          </w:p>
        </w:tc>
        <w:tc>
          <w:tcPr>
            <w:tcW w:type="dxa" w:w="16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w:t>
            </w:r>
          </w:p>
        </w:tc>
      </w:tr>
    </w:tbl>
    <w:p>
      <w:pPr>
        <w:spacing w:after="160"/>
        <w:ind w:left="300"/>
      </w:pPr>
      <w:r>
        <w:rPr>
          <w:rFonts w:ascii="Arial" w:cs="Arial" w:eastAsia="Arial" w:hAnsi="Arial"/>
          <w:b/>
          <w:bCs/>
          <w:i/>
          <w:iCs/>
          <w:sz w:val="14"/>
          <w:szCs w:val="14"/>
        </w:rPr>
        <w:t xml:space="preserve">Fuente: UTP, Postulantes, ingresantes, matriculados y egresados pregrado 2022-2025 (datos al 31.10.2025), pp. 1 y 3. Falta el desagregado de la sede Chiclayo </w:t>
      </w:r>
      <w:r>
        <w:rPr>
          <w:rFonts w:ascii="Arial" w:cs="Arial" w:eastAsia="Arial" w:hAnsi="Arial"/>
          <w:b/>
          <w:bCs/>
          <w:i/>
          <w:iCs/>
          <w:sz w:val="14"/>
          <w:szCs w:val="14"/>
          <w:shd w:fill="FFFF00" w:color="auto" w:val="clear"/>
        </w:rPr>
        <w:t xml:space="preserve">[DATO PENDIENTE]</w:t>
      </w:r>
      <w:r>
        <w:rPr>
          <w:rFonts w:ascii="Arial" w:cs="Arial" w:eastAsia="Arial" w:hAnsi="Arial"/>
          <w:b/>
          <w:bCs/>
          <w:i/>
          <w:iCs/>
          <w:sz w:val="14"/>
          <w:szCs w:val="14"/>
        </w:rPr>
        <w:t xml:space="preserve">.</w:t>
      </w:r>
    </w:p>
    <w:p>
      <w:pPr>
        <w:keepNext/>
        <w:spacing w:after="60" w:before="160"/>
        <w:jc w:val="center"/>
      </w:pPr>
      <w:r>
        <w:rPr>
          <w:rFonts w:ascii="Calibri" w:cs="Calibri" w:eastAsia="Calibri" w:hAnsi="Calibri"/>
          <w:sz w:val="22"/>
          <w:szCs w:val="22"/>
        </w:rPr>
        <w:t xml:space="preserve">Tabla 7. Brecha entre demanda y oferta educativa en Lambayeque (escenario medio)</w:t>
      </w:r>
    </w:p>
    <w:tbl>
      <w:tblPr>
        <w:tblW w:type="dxa" w:w="844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820"/>
        <w:gridCol w:w="820"/>
        <w:gridCol w:w="820"/>
        <w:gridCol w:w="820"/>
        <w:gridCol w:w="820"/>
        <w:gridCol w:w="820"/>
        <w:gridCol w:w="820"/>
      </w:tblGrid>
      <w:tr>
        <w:trPr>
          <w:tblHeader/>
        </w:trPr>
        <w:tc>
          <w:tcPr>
            <w:tcW w:type="dxa" w:w="27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Concepto</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2027</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2028</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2029</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2030</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2031</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2032</w:t>
            </w:r>
          </w:p>
        </w:tc>
        <w:tc>
          <w:tcPr>
            <w:tcW w:type="dxa" w:w="82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2033</w:t>
            </w:r>
          </w:p>
        </w:tc>
      </w:tr>
      <w:tr>
        <w:trPr>
          <w:cantSplit/>
        </w:trPr>
        <w:tc>
          <w:tcPr>
            <w:tcW w:type="dxa" w:w="2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Demanda educativa proyectada (2 %)</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3 208</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3 200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3 193</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3 185</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3 178</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3 170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3 162</w:t>
            </w:r>
          </w:p>
        </w:tc>
      </w:tr>
      <w:tr>
        <w:trPr>
          <w:cantSplit/>
        </w:trPr>
        <w:tc>
          <w:tcPr>
            <w:tcW w:type="dxa" w:w="2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Oferta educativa proyectada (tope)</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240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240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240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240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240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240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240</w:t>
            </w:r>
          </w:p>
        </w:tc>
      </w:tr>
      <w:tr>
        <w:trPr>
          <w:cantSplit/>
        </w:trPr>
        <w:tc>
          <w:tcPr>
            <w:tcW w:type="dxa" w:w="2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Brecha demanda/oferta</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2 968</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2 960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2 953</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2 945</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2 938</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2 930</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2 922</w:t>
            </w:r>
          </w:p>
        </w:tc>
      </w:tr>
    </w:tbl>
    <w:p>
      <w:pPr>
        <w:spacing w:after="160"/>
        <w:ind w:left="300"/>
      </w:pPr>
      <w:r>
        <w:rPr>
          <w:rFonts w:ascii="Arial" w:cs="Arial" w:eastAsia="Arial" w:hAnsi="Arial"/>
          <w:b/>
          <w:bCs/>
          <w:i/>
          <w:iCs/>
          <w:sz w:val="14"/>
          <w:szCs w:val="14"/>
        </w:rPr>
        <w:t xml:space="preserve">Fuente: elaboración propia (Tabla 4 − Tabla 6). La oferta se mantiene constante en el total de ingresantes 2025 de la UTP (tope superior).</w:t>
      </w:r>
    </w:p>
    <w:p>
      <w:pPr>
        <w:spacing w:after="120" w:line="360"/>
        <w:jc w:val="both"/>
      </w:pPr>
      <w:r>
        <w:rPr>
          <w:rFonts w:ascii="Calibri" w:cs="Calibri" w:eastAsia="Calibri" w:hAnsi="Calibri"/>
          <w:sz w:val="24"/>
          <w:szCs w:val="24"/>
        </w:rPr>
        <w:t xml:space="preserve">Aun con el escenario conservador (1 % de interés) y tomando como oferta regional el total nacional de ingresantes de la UTP, para 2027 habría una brecha de alrededor de 1 360 jóvenes interesados en estudiar Farmacia y Bioquímica que no encontrarían una vacante en una universidad licenciada de la región. En el escenario medio, la brecha se acerca a los 3 000 jóvenes por año.</w:t>
      </w:r>
    </w:p>
    <w:p>
      <w:pPr>
        <w:keepNext/>
        <w:spacing w:after="160" w:before="240"/>
      </w:pPr>
      <w:r>
        <w:rPr>
          <w:rFonts w:ascii="Calibri" w:cs="Calibri" w:eastAsia="Calibri" w:hAnsi="Calibri"/>
          <w:color w:val="323E4F"/>
          <w:sz w:val="28"/>
          <w:szCs w:val="28"/>
        </w:rPr>
        <w:t xml:space="preserve">VI.- JUSTIFICACIÓN DE LA CREACIÓN DEL PROGRAMA</w:t>
      </w:r>
    </w:p>
    <w:p>
      <w:pPr>
        <w:keepNext/>
        <w:spacing w:after="120" w:before="200"/>
        <w:ind w:left="284"/>
      </w:pPr>
      <w:r>
        <w:rPr>
          <w:rFonts w:ascii="Calibri" w:cs="Calibri" w:eastAsia="Calibri" w:hAnsi="Calibri"/>
          <w:color w:val="323E4F"/>
          <w:sz w:val="26"/>
          <w:szCs w:val="26"/>
        </w:rPr>
        <w:t xml:space="preserve">6.1.- Justificación</w:t>
      </w:r>
    </w:p>
    <w:p>
      <w:pPr>
        <w:spacing w:after="120" w:line="360"/>
        <w:jc w:val="both"/>
      </w:pPr>
      <w:r>
        <w:rPr>
          <w:rFonts w:ascii="Calibri" w:cs="Calibri" w:eastAsia="Calibri" w:hAnsi="Calibri"/>
          <w:sz w:val="24"/>
          <w:szCs w:val="24"/>
        </w:rPr>
        <w:t xml:space="preserve">Lambayeque es el principal polo comercial, de servicios y sanitario del nororiente peruano; su ubicación estratégica le permite conectar los flujos económicos y poblacionales de la costa, la sierra y la selva norte (BCRP, p. 3). La región cuenta con </w:t>
      </w:r>
      <w:r>
        <w:rPr>
          <w:rFonts w:ascii="Calibri" w:cs="Calibri" w:eastAsia="Calibri" w:hAnsi="Calibri"/>
          <w:b/>
          <w:bCs/>
          <w:sz w:val="24"/>
          <w:szCs w:val="24"/>
        </w:rPr>
        <w:t xml:space="preserve">194 establecimientos de salud</w:t>
      </w:r>
      <w:r>
        <w:rPr>
          <w:rFonts w:ascii="Calibri" w:cs="Calibri" w:eastAsia="Calibri" w:hAnsi="Calibri"/>
          <w:sz w:val="24"/>
          <w:szCs w:val="24"/>
        </w:rPr>
        <w:t xml:space="preserve"> (PRODUCE, p. 2) y Chiclayo concentra hospitales de referencia (Hospital Regional Lambayeque, Hospital Las Mercedes y Hospital Nacional Almanzor Aguinaga Asenjo de EsSalud) que reciben pacientes derivados de Cajamarca, San Martín, Amazonas y Piura. EsSalud cuenta con más de 598 000 asegurados en la región y proyecta la construcción de tres hospitales (Almanzor Aguinaga, Naylamp y Ferreñafe). Cada uno de estos establecimientos requiere servicios de farmacia hospitalaria, farmacia clínica, farmacovigilancia, laboratorio clínico y gestión del suministro de medicamentos a cargo de Químicos Farmacéuticos.</w:t>
      </w:r>
    </w:p>
    <w:p>
      <w:pPr>
        <w:spacing w:after="120" w:line="360"/>
        <w:jc w:val="both"/>
      </w:pPr>
      <w:r>
        <w:rPr>
          <w:rFonts w:ascii="Calibri" w:cs="Calibri" w:eastAsia="Calibri" w:hAnsi="Calibri"/>
          <w:sz w:val="24"/>
          <w:szCs w:val="24"/>
        </w:rPr>
        <w:t xml:space="preserve">La Ley N.° 29459, Ley de los Productos Farmacéuticos, Dispositivos Médicos y Productos Sanitarios, y el Reglamento de Establecimientos Farmacéuticos (D.S. N.° 014-2011-SA) exigen que </w:t>
      </w:r>
      <w:r>
        <w:rPr>
          <w:rFonts w:ascii="Calibri" w:cs="Calibri" w:eastAsia="Calibri" w:hAnsi="Calibri"/>
          <w:b/>
          <w:bCs/>
          <w:sz w:val="24"/>
          <w:szCs w:val="24"/>
        </w:rPr>
        <w:t xml:space="preserve">toda farmacia, botica, droguería y laboratorio cuente con un Químico Farmacéutico como director técnico</w:t>
      </w:r>
      <w:r>
        <w:rPr>
          <w:rFonts w:ascii="Calibri" w:cs="Calibri" w:eastAsia="Calibri" w:hAnsi="Calibri"/>
          <w:sz w:val="24"/>
          <w:szCs w:val="24"/>
        </w:rPr>
        <w:t xml:space="preserve">. En consecuencia, cada nuevo establecimiento farmacéutico genera una demanda directa y obligatoria de estos profesionales.</w:t>
      </w:r>
    </w:p>
    <w:p>
      <w:pPr>
        <w:spacing w:after="120" w:line="360"/>
        <w:jc w:val="both"/>
      </w:pPr>
      <w:r>
        <w:rPr>
          <w:rFonts w:ascii="Calibri" w:cs="Calibri" w:eastAsia="Calibri" w:hAnsi="Calibri"/>
          <w:sz w:val="24"/>
          <w:szCs w:val="24"/>
        </w:rPr>
        <w:t xml:space="preserve">La región enfrenta, además, un problema persistente de comercio ilegal de medicamentos: la GERESA Lambayeque intervino más de 100 establecimientos en 14 operativos y </w:t>
      </w:r>
      <w:r>
        <w:rPr>
          <w:rFonts w:ascii="Calibri" w:cs="Calibri" w:eastAsia="Calibri" w:hAnsi="Calibri"/>
          <w:b/>
          <w:bCs/>
          <w:sz w:val="24"/>
          <w:szCs w:val="24"/>
        </w:rPr>
        <w:t xml:space="preserve">decomisó más de una tonelada de medicamentos falsificados, de contrabando o sin registro sanitario</w:t>
      </w:r>
      <w:r>
        <w:rPr>
          <w:rFonts w:ascii="Calibri" w:cs="Calibri" w:eastAsia="Calibri" w:hAnsi="Calibri"/>
          <w:sz w:val="24"/>
          <w:szCs w:val="24"/>
        </w:rPr>
        <w:t xml:space="preserve">, y se clausuraron boticas ubicadas junto a los hospitales Las Mercedes, Regional y Juan Pablo II. Contar con más farmacéuticos formados en la región fortalece la vigilancia sanitaria, la inspección y el uso racional de medicamentos.</w:t>
      </w:r>
    </w:p>
    <w:p>
      <w:pPr>
        <w:spacing w:after="120" w:line="360"/>
        <w:jc w:val="both"/>
      </w:pPr>
      <w:r>
        <w:rPr>
          <w:rFonts w:ascii="Calibri" w:cs="Calibri" w:eastAsia="Calibri" w:hAnsi="Calibri"/>
          <w:sz w:val="24"/>
          <w:szCs w:val="24"/>
        </w:rPr>
        <w:t xml:space="preserve">Asimismo, la carga de enfermedad regional exige atención farmacéutica y diagnóstico de laboratorio sostenidos: la </w:t>
      </w:r>
      <w:r>
        <w:rPr>
          <w:rFonts w:ascii="Calibri" w:cs="Calibri" w:eastAsia="Calibri" w:hAnsi="Calibri"/>
          <w:b/>
          <w:bCs/>
          <w:sz w:val="24"/>
          <w:szCs w:val="24"/>
        </w:rPr>
        <w:t xml:space="preserve">anemia afectó al 25,5 % de los niños de 6 a 59 meses en 2024</w:t>
      </w:r>
      <w:r>
        <w:rPr>
          <w:rFonts w:ascii="Calibri" w:cs="Calibri" w:eastAsia="Calibri" w:hAnsi="Calibri"/>
          <w:sz w:val="24"/>
          <w:szCs w:val="24"/>
        </w:rPr>
        <w:t xml:space="preserve"> (INEI – ENDES 2024, Lambayeque, p. 67); el </w:t>
      </w:r>
      <w:r>
        <w:rPr>
          <w:rFonts w:ascii="Calibri" w:cs="Calibri" w:eastAsia="Calibri" w:hAnsi="Calibri"/>
          <w:b/>
          <w:bCs/>
          <w:sz w:val="24"/>
          <w:szCs w:val="24"/>
        </w:rPr>
        <w:t xml:space="preserve">41,2 % de la población de 15 años a más presenta al menos una comorbilidad</w:t>
      </w:r>
      <w:r>
        <w:rPr>
          <w:rFonts w:ascii="Calibri" w:cs="Calibri" w:eastAsia="Calibri" w:hAnsi="Calibri"/>
          <w:sz w:val="24"/>
          <w:szCs w:val="24"/>
        </w:rPr>
        <w:t xml:space="preserve"> (obesidad, diabetes mellitus y/o hipertensión), 43,5 % en el área urbana, y la </w:t>
      </w:r>
      <w:r>
        <w:rPr>
          <w:rFonts w:ascii="Calibri" w:cs="Calibri" w:eastAsia="Calibri" w:hAnsi="Calibri"/>
          <w:b/>
          <w:bCs/>
          <w:sz w:val="24"/>
          <w:szCs w:val="24"/>
        </w:rPr>
        <w:t xml:space="preserve">hipertensión arterial afecta al 21,3 %</w:t>
      </w:r>
      <w:r>
        <w:rPr>
          <w:rFonts w:ascii="Calibri" w:cs="Calibri" w:eastAsia="Calibri" w:hAnsi="Calibri"/>
          <w:sz w:val="24"/>
          <w:szCs w:val="24"/>
        </w:rPr>
        <w:t xml:space="preserve"> de ese grupo (INEI – ENDES 2024, Enfermedades No Transmisibles y Transmisibles, Lambayeque, pp. 9 y 17); y la epidemia de dengue de 2023 superó los 6 400 casos, con más de 130 hospitalizados y 16 fallecidos.</w:t>
      </w:r>
    </w:p>
    <w:p>
      <w:pPr>
        <w:spacing w:after="120" w:line="360"/>
        <w:jc w:val="both"/>
      </w:pPr>
      <w:r>
        <w:rPr>
          <w:rFonts w:ascii="Calibri" w:cs="Calibri" w:eastAsia="Calibri" w:hAnsi="Calibri"/>
          <w:sz w:val="24"/>
          <w:szCs w:val="24"/>
        </w:rPr>
        <w:t xml:space="preserve">En ese sentido, concluimos que, por la exigencia legal, la demanda sanitaria y el crecimiento del sector, la creación del programa de Farmacia y Bioquímica en Chiclayo tiene una gran pertinencia social y se justifica para cubrir la demanda educativa y laboral insatisfecha de la región.</w:t>
      </w:r>
    </w:p>
    <w:p>
      <w:pPr>
        <w:keepNext/>
        <w:spacing w:after="120" w:before="200"/>
        <w:ind w:left="284"/>
      </w:pPr>
      <w:r>
        <w:rPr>
          <w:rFonts w:ascii="Calibri" w:cs="Calibri" w:eastAsia="Calibri" w:hAnsi="Calibri"/>
          <w:color w:val="323E4F"/>
          <w:sz w:val="26"/>
          <w:szCs w:val="26"/>
        </w:rPr>
        <w:t xml:space="preserve">6.2.- Demanda insatisfecha de profesionales en el área de influencia</w:t>
      </w:r>
    </w:p>
    <w:p>
      <w:pPr>
        <w:spacing w:after="120" w:line="360"/>
        <w:jc w:val="both"/>
      </w:pPr>
      <w:r>
        <w:rPr>
          <w:rFonts w:ascii="Calibri" w:cs="Calibri" w:eastAsia="Calibri" w:hAnsi="Calibri"/>
          <w:sz w:val="24"/>
          <w:szCs w:val="24"/>
        </w:rPr>
        <w:t xml:space="preserve">La creación del programa de Farmacia y Bioquímica en Chiclayo se justifica teniendo en cuenta la demanda de Químicos Farmacéuticos derivada de: (a) los establecimientos farmacéuticos autorizados, cada uno con al menos un director técnico obligatorio; (b) las plazas en establecimientos de salud públicos (MINSA/GERESA y EsSalud) y privados; y (c) la demanda ocupacional reportada por el MTPE.</w:t>
      </w:r>
    </w:p>
    <w:p>
      <w:pPr>
        <w:keepNext/>
        <w:spacing w:after="60" w:before="160"/>
        <w:jc w:val="center"/>
      </w:pPr>
      <w:r>
        <w:rPr>
          <w:rFonts w:ascii="Calibri" w:cs="Calibri" w:eastAsia="Calibri" w:hAnsi="Calibri"/>
          <w:sz w:val="22"/>
          <w:szCs w:val="22"/>
        </w:rPr>
        <w:t xml:space="preserve">Tabla 8. Establecimientos farmacéuticos privados vigentes en Lambayeque, junio 2026</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1400"/>
      </w:tblGrid>
      <w:tr>
        <w:trPr>
          <w:tblHeader/>
        </w:trPr>
        <w:tc>
          <w:tcPr>
            <w:tcW w:type="dxa" w:w="40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Tipo de establecimiento</w:t>
            </w:r>
          </w:p>
        </w:tc>
        <w:tc>
          <w:tcPr>
            <w:tcW w:type="dxa" w:w="14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Lambayeque</w:t>
            </w:r>
          </w:p>
        </w:tc>
        <w:tc>
          <w:tcPr>
            <w:tcW w:type="dxa" w:w="14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Perú</w:t>
            </w:r>
          </w:p>
        </w:tc>
        <w:tc>
          <w:tcPr>
            <w:tcW w:type="dxa" w:w="14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 Lambayeque</w:t>
            </w:r>
          </w:p>
        </w:tc>
      </w:tr>
      <w:tr>
        <w:trPr>
          <w:cantSplit/>
        </w:trPr>
        <w:tc>
          <w:tcPr>
            <w:tcW w:type="dxa" w:w="4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Boticas</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1 380</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25 073</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5,5 %</w:t>
            </w:r>
          </w:p>
        </w:tc>
      </w:tr>
      <w:tr>
        <w:trPr>
          <w:cantSplit/>
        </w:trPr>
        <w:tc>
          <w:tcPr>
            <w:tcW w:type="dxa" w:w="4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Farmacias</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77</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3 655</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2,1 %</w:t>
            </w:r>
          </w:p>
        </w:tc>
      </w:tr>
      <w:tr>
        <w:trPr>
          <w:cantSplit/>
        </w:trPr>
        <w:tc>
          <w:tcPr>
            <w:tcW w:type="dxa" w:w="4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Farmacias de establecimientos de salud (clínicas)</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58</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933</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6,2 %</w:t>
            </w:r>
          </w:p>
        </w:tc>
      </w:tr>
      <w:tr>
        <w:trPr>
          <w:cantSplit/>
        </w:trPr>
        <w:tc>
          <w:tcPr>
            <w:tcW w:type="dxa" w:w="4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Droguerías</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64</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5 256</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1,2 %</w:t>
            </w:r>
          </w:p>
        </w:tc>
      </w:tr>
      <w:tr>
        <w:trPr>
          <w:cantSplit/>
        </w:trPr>
        <w:tc>
          <w:tcPr>
            <w:tcW w:type="dxa" w:w="4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Laboratorios</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182</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0,5 %</w:t>
            </w:r>
          </w:p>
        </w:tc>
      </w:tr>
      <w:tr>
        <w:trPr>
          <w:cantSplit/>
        </w:trPr>
        <w:tc>
          <w:tcPr>
            <w:tcW w:type="dxa" w:w="4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Total</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1 580</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35 099</w:t>
            </w:r>
          </w:p>
        </w:tc>
        <w:tc>
          <w:tcPr>
            <w:tcW w:type="dxa" w:w="1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4,5 %</w:t>
            </w:r>
          </w:p>
        </w:tc>
      </w:tr>
    </w:tbl>
    <w:p>
      <w:pPr>
        <w:spacing w:after="160"/>
        <w:ind w:left="300"/>
      </w:pPr>
      <w:r>
        <w:rPr>
          <w:rFonts w:ascii="Arial" w:cs="Arial" w:eastAsia="Arial" w:hAnsi="Arial"/>
          <w:b/>
          <w:bCs/>
          <w:i/>
          <w:iCs/>
          <w:sz w:val="14"/>
          <w:szCs w:val="14"/>
        </w:rPr>
        <w:t xml:space="preserve">Fuente: DIGEMID – Boletín de Establecimientos Farmacéuticos, Año 6, Ed. 11 (junio 2026), p. 4. Lambayeque ocupa el sexto lugar nacional.</w:t>
      </w:r>
    </w:p>
    <w:p>
      <w:pPr>
        <w:spacing w:after="120" w:line="360"/>
        <w:jc w:val="both"/>
      </w:pPr>
      <w:r>
        <w:rPr>
          <w:rFonts w:ascii="Calibri" w:cs="Calibri" w:eastAsia="Calibri" w:hAnsi="Calibri"/>
          <w:sz w:val="24"/>
          <w:szCs w:val="24"/>
        </w:rPr>
        <w:t xml:space="preserve">En la evolución de las boticas y farmacias privadas, Lambayeque registró 1 903 en diciembre de 2024 (establecimientos "activos"), 1 530 en diciembre de 2025 y 1 457 en junio de 2026 (establecimientos "vigentes"; 202 de cadena y 1 255 independientes), con presencia en 36 de sus 38 distritos (DIGEMID, Ed. 8, 10 y 11). A nivel nacional, solo durante 2025 se autorizaron </w:t>
      </w:r>
      <w:r>
        <w:rPr>
          <w:rFonts w:ascii="Calibri" w:cs="Calibri" w:eastAsia="Calibri" w:hAnsi="Calibri"/>
          <w:b/>
          <w:bCs/>
          <w:sz w:val="24"/>
          <w:szCs w:val="24"/>
        </w:rPr>
        <w:t xml:space="preserve">4 982 nuevos establecimientos farmacéuticos privados</w:t>
      </w:r>
      <w:r>
        <w:rPr>
          <w:rFonts w:ascii="Calibri" w:cs="Calibri" w:eastAsia="Calibri" w:hAnsi="Calibri"/>
          <w:sz w:val="24"/>
          <w:szCs w:val="24"/>
        </w:rPr>
        <w:t xml:space="preserve"> (DIGEMID, Ed. 10, p. 2).</w:t>
      </w:r>
    </w:p>
    <w:p>
      <w:pPr>
        <w:spacing w:after="120" w:line="360"/>
        <w:jc w:val="both"/>
      </w:pPr>
      <w:r>
        <w:rPr>
          <w:rFonts w:ascii="Calibri" w:cs="Calibri" w:eastAsia="Calibri" w:hAnsi="Calibri"/>
          <w:sz w:val="24"/>
          <w:szCs w:val="24"/>
        </w:rPr>
        <w:t xml:space="preserve">Frente a esta demanda, el </w:t>
      </w:r>
      <w:r>
        <w:rPr>
          <w:rFonts w:ascii="Calibri" w:cs="Calibri" w:eastAsia="Calibri" w:hAnsi="Calibri"/>
          <w:b/>
          <w:bCs/>
          <w:sz w:val="24"/>
          <w:szCs w:val="24"/>
        </w:rPr>
        <w:t xml:space="preserve">Colegio Químico Farmacéutico Departamental de Lambayeque registra 812 colegiados</w:t>
      </w:r>
      <w:r>
        <w:rPr>
          <w:rFonts w:ascii="Calibri" w:cs="Calibri" w:eastAsia="Calibri" w:hAnsi="Calibri"/>
          <w:sz w:val="24"/>
          <w:szCs w:val="24"/>
        </w:rPr>
        <w:t xml:space="preserve">, con 167 nuevos colegiados, 50 ingresos por traslado y 82 traslados a otros departamentos en el periodo 2023-2024 (CQFD Lambayeque, Memoria de Gestión 2023-2024). Es decir, la región cuenta con </w:t>
      </w:r>
      <w:r>
        <w:rPr>
          <w:rFonts w:ascii="Calibri" w:cs="Calibri" w:eastAsia="Calibri" w:hAnsi="Calibri"/>
          <w:b/>
          <w:bCs/>
          <w:sz w:val="24"/>
          <w:szCs w:val="24"/>
        </w:rPr>
        <w:t xml:space="preserve">alrededor de 6 Químicos Farmacéuticos por cada 10 000 habitantes</w:t>
      </w:r>
      <w:r>
        <w:rPr>
          <w:rFonts w:ascii="Calibri" w:cs="Calibri" w:eastAsia="Calibri" w:hAnsi="Calibri"/>
          <w:sz w:val="24"/>
          <w:szCs w:val="24"/>
        </w:rPr>
        <w:t xml:space="preserve"> y con </w:t>
      </w:r>
      <w:r>
        <w:rPr>
          <w:rFonts w:ascii="Calibri" w:cs="Calibri" w:eastAsia="Calibri" w:hAnsi="Calibri"/>
          <w:b/>
          <w:bCs/>
          <w:sz w:val="24"/>
          <w:szCs w:val="24"/>
        </w:rPr>
        <w:t xml:space="preserve">casi dos establecimientos farmacéuticos (1 580) por cada profesional colegiado (812)</w:t>
      </w:r>
      <w:r>
        <w:rPr>
          <w:rFonts w:ascii="Calibri" w:cs="Calibri" w:eastAsia="Calibri" w:hAnsi="Calibri"/>
          <w:sz w:val="24"/>
          <w:szCs w:val="24"/>
        </w:rPr>
        <w:t xml:space="preserve">, sin considerar las plazas en hospitales, clínicas, laboratorios clínicos, industria y docencia.</w:t>
      </w:r>
    </w:p>
    <w:p>
      <w:pPr>
        <w:keepNext/>
        <w:spacing w:after="60" w:before="160"/>
        <w:jc w:val="center"/>
      </w:pPr>
      <w:r>
        <w:rPr>
          <w:rFonts w:ascii="Calibri" w:cs="Calibri" w:eastAsia="Calibri" w:hAnsi="Calibri"/>
          <w:sz w:val="22"/>
          <w:szCs w:val="22"/>
        </w:rPr>
        <w:t xml:space="preserve">Tabla 9. Brecha estimada de Químicos Farmacéuticos en Lambayeque</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1100"/>
        <w:gridCol w:w="3200"/>
      </w:tblGrid>
      <w:tr>
        <w:trPr>
          <w:tblHeader/>
        </w:trPr>
        <w:tc>
          <w:tcPr>
            <w:tcW w:type="dxa" w:w="39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Concepto</w:t>
            </w:r>
          </w:p>
        </w:tc>
        <w:tc>
          <w:tcPr>
            <w:tcW w:type="dxa" w:w="11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Valor</w:t>
            </w:r>
          </w:p>
        </w:tc>
        <w:tc>
          <w:tcPr>
            <w:tcW w:type="dxa" w:w="32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Sustento</w:t>
            </w:r>
          </w:p>
        </w:tc>
      </w:tr>
      <w:tr>
        <w:trPr>
          <w:cantSplit/>
        </w:trPr>
        <w:tc>
          <w:tcPr>
            <w:tcW w:type="dxa" w:w="3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Establecimientos farmacéuticos privados vigentes (jun. 2026)</w:t>
            </w:r>
          </w:p>
        </w:tc>
        <w:tc>
          <w:tcPr>
            <w:tcW w:type="dxa" w:w="11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1 580</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DIGEMID, Tabla 8</w:t>
            </w:r>
          </w:p>
        </w:tc>
      </w:tr>
      <w:tr>
        <w:trPr>
          <w:cantSplit/>
        </w:trPr>
        <w:tc>
          <w:tcPr>
            <w:tcW w:type="dxa" w:w="3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QF directores técnicos requeridos (mínimo)</w:t>
            </w:r>
          </w:p>
        </w:tc>
        <w:tc>
          <w:tcPr>
            <w:tcW w:type="dxa" w:w="11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1 580</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 QF por establecimiento (Ley N.° 29459)</w:t>
            </w:r>
          </w:p>
        </w:tc>
      </w:tr>
      <w:tr>
        <w:trPr>
          <w:cantSplit/>
        </w:trPr>
        <w:tc>
          <w:tcPr>
            <w:tcW w:type="dxa" w:w="3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Químicos Farmacéuticos colegiados en Lambayeque</w:t>
            </w:r>
          </w:p>
        </w:tc>
        <w:tc>
          <w:tcPr>
            <w:tcW w:type="dxa" w:w="11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812</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CQFD Lambayeque, Memoria 2023-2024</w:t>
            </w:r>
          </w:p>
        </w:tc>
      </w:tr>
      <w:tr>
        <w:trPr>
          <w:cantSplit/>
        </w:trPr>
        <w:tc>
          <w:tcPr>
            <w:tcW w:type="dxa" w:w="3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Brecha mínima (solo dirección técnica)</w:t>
            </w:r>
          </w:p>
        </w:tc>
        <w:tc>
          <w:tcPr>
            <w:tcW w:type="dxa" w:w="11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768</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Requeridos − colegiados</w:t>
            </w:r>
          </w:p>
        </w:tc>
      </w:tr>
      <w:tr>
        <w:trPr>
          <w:cantSplit/>
        </w:trPr>
        <w:tc>
          <w:tcPr>
            <w:tcW w:type="dxa" w:w="3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Nuevos EE.FF. privados por año en Lambayeque (estimado)</w:t>
            </w:r>
          </w:p>
        </w:tc>
        <w:tc>
          <w:tcPr>
            <w:tcW w:type="dxa" w:w="11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 225</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4 982 nacionales × 4,5 % regional</w:t>
            </w:r>
          </w:p>
        </w:tc>
      </w:tr>
      <w:tr>
        <w:trPr>
          <w:cantSplit/>
        </w:trPr>
        <w:tc>
          <w:tcPr>
            <w:tcW w:type="dxa" w:w="3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Incremento neto anual de colegiados</w:t>
            </w:r>
          </w:p>
        </w:tc>
        <w:tc>
          <w:tcPr>
            <w:tcW w:type="dxa" w:w="11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135</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167 nuevos + 50 ingresos − 82 traslados</w:t>
            </w:r>
          </w:p>
        </w:tc>
      </w:tr>
    </w:tbl>
    <w:p>
      <w:pPr>
        <w:spacing w:after="160"/>
        <w:ind w:left="300"/>
      </w:pPr>
      <w:r>
        <w:rPr>
          <w:rFonts w:ascii="Arial" w:cs="Arial" w:eastAsia="Arial" w:hAnsi="Arial"/>
          <w:b/>
          <w:bCs/>
          <w:i/>
          <w:iCs/>
          <w:sz w:val="14"/>
          <w:szCs w:val="14"/>
        </w:rPr>
        <w:t xml:space="preserve">Fuente: elaboración propia con datos de DIGEMID (2025-2026) y del CQFD Lambayeque. No incluye plazas del sector público, hospitales, laboratorios clínicos ni industria.</w:t>
      </w:r>
    </w:p>
    <w:p>
      <w:pPr>
        <w:spacing w:after="120" w:line="360"/>
        <w:jc w:val="both"/>
      </w:pPr>
      <w:r>
        <w:rPr>
          <w:rFonts w:ascii="Calibri" w:cs="Calibri" w:eastAsia="Calibri" w:hAnsi="Calibri"/>
          <w:sz w:val="24"/>
          <w:szCs w:val="24"/>
        </w:rPr>
        <w:t xml:space="preserve">Según la Encuesta de Demanda Ocupacional del MTPE, en 2024 Lambayeque demandaría </w:t>
      </w:r>
      <w:r>
        <w:rPr>
          <w:rFonts w:ascii="Calibri" w:cs="Calibri" w:eastAsia="Calibri" w:hAnsi="Calibri"/>
          <w:b/>
          <w:bCs/>
          <w:sz w:val="24"/>
          <w:szCs w:val="24"/>
        </w:rPr>
        <w:t xml:space="preserve">17 448 trabajadores para nuevos puestos</w:t>
      </w:r>
      <w:r>
        <w:rPr>
          <w:rFonts w:ascii="Calibri" w:cs="Calibri" w:eastAsia="Calibri" w:hAnsi="Calibri"/>
          <w:sz w:val="24"/>
          <w:szCs w:val="24"/>
        </w:rPr>
        <w:t xml:space="preserve">, y </w:t>
      </w:r>
      <w:r>
        <w:rPr>
          <w:rFonts w:ascii="Calibri" w:cs="Calibri" w:eastAsia="Calibri" w:hAnsi="Calibri"/>
          <w:b/>
          <w:bCs/>
          <w:sz w:val="24"/>
          <w:szCs w:val="24"/>
        </w:rPr>
        <w:t xml:space="preserve">Farmacia y Bioquímica sería la segunda carrera técnica más demandada</w:t>
      </w:r>
      <w:r>
        <w:rPr>
          <w:rFonts w:ascii="Calibri" w:cs="Calibri" w:eastAsia="Calibri" w:hAnsi="Calibri"/>
          <w:sz w:val="24"/>
          <w:szCs w:val="24"/>
        </w:rPr>
        <w:t xml:space="preserve"> en la región (MTPE, Demanda de ocupaciones en Lambayeque 2024, pp. v y 15). Para 2025, la demanda se eleva a </w:t>
      </w:r>
      <w:r>
        <w:rPr>
          <w:rFonts w:ascii="Calibri" w:cs="Calibri" w:eastAsia="Calibri" w:hAnsi="Calibri"/>
          <w:b/>
          <w:bCs/>
          <w:sz w:val="24"/>
          <w:szCs w:val="24"/>
        </w:rPr>
        <w:t xml:space="preserve">32 685 nuevos puestos de trabajo</w:t>
      </w:r>
      <w:r>
        <w:rPr>
          <w:rFonts w:ascii="Calibri" w:cs="Calibri" w:eastAsia="Calibri" w:hAnsi="Calibri"/>
          <w:sz w:val="24"/>
          <w:szCs w:val="24"/>
        </w:rPr>
        <w:t xml:space="preserve">, de los cuales el 12,3 % (4 011) requeriría profesionales universitarios (MTPE, Demanda de ocupaciones 2025; OSEL, 2025, p. 44). Como se indicó en la sección 5.1.1, el portal Mi Carrera del MTPE ubica a Farmacia en el sexto lugar entre las familias de carreras universitarias más demandadas en Lambayeque.</w:t>
      </w:r>
    </w:p>
    <w:p>
      <w:pPr>
        <w:spacing w:after="120" w:line="360"/>
        <w:jc w:val="both"/>
      </w:pPr>
      <w:r>
        <w:rPr>
          <w:rFonts w:ascii="Calibri" w:cs="Calibri" w:eastAsia="Calibri" w:hAnsi="Calibri"/>
          <w:sz w:val="24"/>
          <w:szCs w:val="24"/>
        </w:rPr>
        <w:t xml:space="preserve">De lo expuesto se observa que la mayor demanda corresponde a Químicos Farmacéuticos para la dirección técnica de establecimientos farmacéuticos: la región necesitaría al menos 768 profesionales adicionales solo para cubrir los establecimientos existentes, y cada año se abren alrededor de 225 nuevos establecimientos, frente a un incremento neto de apenas 135 colegiados. A ello se suman las plazas en hospitales, clínicas, laboratorios clínicos y agroindustria.</w:t>
      </w:r>
    </w:p>
    <w:p>
      <w:pPr>
        <w:keepNext/>
        <w:spacing w:after="100" w:before="160" w:line="360"/>
        <w:jc w:val="both"/>
      </w:pPr>
      <w:r>
        <w:rPr>
          <w:rFonts w:ascii="Calibri" w:cs="Calibri" w:eastAsia="Calibri" w:hAnsi="Calibri"/>
          <w:b/>
          <w:bCs/>
          <w:sz w:val="24"/>
          <w:szCs w:val="24"/>
        </w:rPr>
        <w:t xml:space="preserve">6.2.1. Necesidades locales:</w:t>
      </w:r>
    </w:p>
    <w:p>
      <w:pPr>
        <w:pStyle w:val="ListParagraph"/>
        <w:numPr>
          <w:ilvl w:val="0"/>
          <w:numId w:val="2"/>
        </w:numPr>
        <w:spacing w:after="80" w:line="360"/>
        <w:jc w:val="both"/>
      </w:pPr>
      <w:r>
        <w:rPr>
          <w:rFonts w:ascii="Calibri" w:cs="Calibri" w:eastAsia="Calibri" w:hAnsi="Calibri"/>
          <w:sz w:val="24"/>
          <w:szCs w:val="24"/>
        </w:rPr>
        <w:t xml:space="preserve">Población y concentración urbana: 1 356 202 habitantes, 81 % urbanos, con Chiclayo como centro de referencia sanitaria del nororiente.</w:t>
      </w:r>
    </w:p>
    <w:p>
      <w:pPr>
        <w:pStyle w:val="ListParagraph"/>
        <w:numPr>
          <w:ilvl w:val="0"/>
          <w:numId w:val="2"/>
        </w:numPr>
        <w:spacing w:after="80" w:line="360"/>
        <w:jc w:val="both"/>
      </w:pPr>
      <w:r>
        <w:rPr>
          <w:rFonts w:ascii="Calibri" w:cs="Calibri" w:eastAsia="Calibri" w:hAnsi="Calibri"/>
          <w:sz w:val="24"/>
          <w:szCs w:val="24"/>
        </w:rPr>
        <w:t xml:space="preserve">Carga de enfermedad: anemia infantil de 25,5 %, 41,2 % de adultos con obesidad, diabetes o hipertensión y 21,3 % con hipertensión arterial (ENDES 2024) y brotes recurrentes de dengue, que requieren atención farmacéutica, diagnóstico de laboratorio y educación sanitaria.</w:t>
      </w:r>
    </w:p>
    <w:p>
      <w:pPr>
        <w:pStyle w:val="ListParagraph"/>
        <w:numPr>
          <w:ilvl w:val="0"/>
          <w:numId w:val="2"/>
        </w:numPr>
        <w:spacing w:after="80" w:line="360"/>
        <w:jc w:val="both"/>
      </w:pPr>
      <w:r>
        <w:rPr>
          <w:rFonts w:ascii="Calibri" w:cs="Calibri" w:eastAsia="Calibri" w:hAnsi="Calibri"/>
          <w:sz w:val="24"/>
          <w:szCs w:val="24"/>
        </w:rPr>
        <w:t xml:space="preserve">Desigualdad territorial: la pobreza en Ferreñafe (46,7 %) y Lambayeque (31,4 %) supera ampliamente la de Chiclayo (17,8 %); en junio de 2026 dos distritos de la región no contaban con ninguna botica o farmacia privada (DIGEMID).</w:t>
      </w:r>
    </w:p>
    <w:p>
      <w:pPr>
        <w:pStyle w:val="ListParagraph"/>
        <w:numPr>
          <w:ilvl w:val="0"/>
          <w:numId w:val="2"/>
        </w:numPr>
        <w:spacing w:after="80" w:line="360"/>
        <w:jc w:val="both"/>
      </w:pPr>
      <w:r>
        <w:rPr>
          <w:rFonts w:ascii="Calibri" w:cs="Calibri" w:eastAsia="Calibri" w:hAnsi="Calibri"/>
          <w:sz w:val="24"/>
          <w:szCs w:val="24"/>
        </w:rPr>
        <w:t xml:space="preserve">Medicamentos ilegales: más de una tonelada decomisada y boticas clausuradas junto a hospitales; se necesitan profesionales para la dirección técnica, la inspección y la farmacovigilancia.</w:t>
      </w:r>
    </w:p>
    <w:p>
      <w:pPr>
        <w:pStyle w:val="ListParagraph"/>
        <w:numPr>
          <w:ilvl w:val="0"/>
          <w:numId w:val="2"/>
        </w:numPr>
        <w:spacing w:after="80" w:line="360"/>
        <w:jc w:val="both"/>
      </w:pPr>
      <w:r>
        <w:rPr>
          <w:rFonts w:ascii="Calibri" w:cs="Calibri" w:eastAsia="Calibri" w:hAnsi="Calibri"/>
          <w:sz w:val="24"/>
          <w:szCs w:val="24"/>
        </w:rPr>
        <w:t xml:space="preserve">Baja proporción de profesionales: solo el 13,9 % de la PEA ocupada tiene educación universitaria (MTPE, 2022) y la región tiene alrededor de 6 Químicos Farmacéuticos por cada 10 000 habitantes (CQFD Lambayeque).</w:t>
      </w:r>
    </w:p>
    <w:p>
      <w:pPr>
        <w:pStyle w:val="ListParagraph"/>
        <w:numPr>
          <w:ilvl w:val="0"/>
          <w:numId w:val="2"/>
        </w:numPr>
        <w:spacing w:after="80" w:line="360"/>
        <w:jc w:val="both"/>
      </w:pPr>
      <w:r>
        <w:rPr>
          <w:rFonts w:ascii="Calibri" w:cs="Calibri" w:eastAsia="Calibri" w:hAnsi="Calibri"/>
          <w:sz w:val="24"/>
          <w:szCs w:val="24"/>
        </w:rPr>
        <w:t xml:space="preserve">Jóvenes sin oportunidades: 65 097 jóvenes (19,7 %) no estudian ni trabajan, cuarto lugar nacional (OSEL, 2025); los jóvenes con educación universitaria perciben en promedio S/ 1 506 mensuales frente a S/ 1 121 de quienes solo tienen secundaria (EPEN 2024).</w:t>
      </w:r>
    </w:p>
    <w:p>
      <w:pPr>
        <w:spacing w:after="120" w:line="360"/>
        <w:jc w:val="both"/>
      </w:pPr>
      <w:r>
        <w:rPr>
          <w:rFonts w:ascii="Calibri" w:cs="Calibri" w:eastAsia="Calibri" w:hAnsi="Calibri"/>
          <w:sz w:val="24"/>
          <w:szCs w:val="24"/>
        </w:rPr>
        <w:t xml:space="preserve">Un programa de Farmacia y Bioquímica ayudaría a satisfacer estas demandas formando profesionales locales con las habilidades y conocimientos necesarios.</w:t>
      </w:r>
    </w:p>
    <w:p>
      <w:pPr>
        <w:keepNext/>
        <w:spacing w:after="100" w:before="160" w:line="360"/>
        <w:jc w:val="both"/>
      </w:pPr>
      <w:r>
        <w:rPr>
          <w:rFonts w:ascii="Calibri" w:cs="Calibri" w:eastAsia="Calibri" w:hAnsi="Calibri"/>
          <w:b/>
          <w:bCs/>
          <w:sz w:val="24"/>
          <w:szCs w:val="24"/>
        </w:rPr>
        <w:t xml:space="preserve">6.2.2. Mejora de la gestión de las empresas públicas y privadas:</w:t>
      </w:r>
    </w:p>
    <w:p>
      <w:pPr>
        <w:spacing w:after="120" w:line="360"/>
        <w:jc w:val="both"/>
      </w:pPr>
      <w:r>
        <w:rPr>
          <w:rFonts w:ascii="Calibri" w:cs="Calibri" w:eastAsia="Calibri" w:hAnsi="Calibri"/>
          <w:sz w:val="24"/>
          <w:szCs w:val="24"/>
        </w:rPr>
        <w:t xml:space="preserve">Lambayeque cuenta con </w:t>
      </w:r>
      <w:r>
        <w:rPr>
          <w:rFonts w:ascii="Calibri" w:cs="Calibri" w:eastAsia="Calibri" w:hAnsi="Calibri"/>
          <w:b/>
          <w:bCs/>
          <w:sz w:val="24"/>
          <w:szCs w:val="24"/>
        </w:rPr>
        <w:t xml:space="preserve">79 085 MYPE, el 89,0 % dedicadas a comercio y servicios</w:t>
      </w:r>
      <w:r>
        <w:rPr>
          <w:rFonts w:ascii="Calibri" w:cs="Calibri" w:eastAsia="Calibri" w:hAnsi="Calibri"/>
          <w:sz w:val="24"/>
          <w:szCs w:val="24"/>
        </w:rPr>
        <w:t xml:space="preserve">, y el 84,0 % de ellas son informales (PRODUCE, p. 1). El comercio minorista de productos farmacéuticos, con 1 255 boticas y farmacias independientes (DIGEMID, junio 2026), es uno de los rubros con mayor número de establecimientos. El Químico Farmacéutico contribuye a la gestión técnico-sanitaria de boticas, farmacias y droguerías (Buenas Prácticas de Almacenamiento, Dispensación y Farmacovigilancia; gestión de inventarios y cadena de frío; cumplimiento normativo ante DIGEMID y la GERESA), a la formalización del sector y, en el sector público, a la gestión del suministro de medicamentos en redes y hospitales (SISMED), los comités farmacoterapéuticos y el uso racional de antimicrobianos.</w:t>
      </w:r>
    </w:p>
    <w:p>
      <w:pPr>
        <w:keepNext/>
        <w:spacing w:after="100" w:before="160" w:line="360"/>
        <w:jc w:val="both"/>
      </w:pPr>
      <w:r>
        <w:rPr>
          <w:rFonts w:ascii="Calibri" w:cs="Calibri" w:eastAsia="Calibri" w:hAnsi="Calibri"/>
          <w:b/>
          <w:bCs/>
          <w:sz w:val="24"/>
          <w:szCs w:val="24"/>
        </w:rPr>
        <w:t xml:space="preserve">6.2.3. Desarrollo profesional y académico:</w:t>
      </w:r>
    </w:p>
    <w:p>
      <w:pPr>
        <w:spacing w:after="120" w:line="360"/>
        <w:jc w:val="both"/>
      </w:pPr>
      <w:r>
        <w:rPr>
          <w:rFonts w:ascii="Calibri" w:cs="Calibri" w:eastAsia="Calibri" w:hAnsi="Calibri"/>
          <w:sz w:val="24"/>
          <w:szCs w:val="24"/>
        </w:rPr>
        <w:t xml:space="preserve">La creación del programa de Farmacia y Bioquímica en Chiclayo abre nuevas oportunidades de formación profesional para residentes locales y de la macrorregión, en un campo donde la oferta licenciada es muy reducida. Permite a los egresados prepararse en la región para el Examen Nacional de Farmacia y Bioquímica (ENAFB), requisito previo al SERUMS, y articularse con los demás programas de ciencias de la salud de la USS y con posgrados en farmacia clínica, gestión de servicios de salud, análisis clínicos y control de calidad.</w:t>
      </w:r>
    </w:p>
    <w:p>
      <w:pPr>
        <w:keepNext/>
        <w:spacing w:after="100" w:before="160" w:line="360"/>
        <w:jc w:val="both"/>
      </w:pPr>
      <w:r>
        <w:rPr>
          <w:rFonts w:ascii="Calibri" w:cs="Calibri" w:eastAsia="Calibri" w:hAnsi="Calibri"/>
          <w:b/>
          <w:bCs/>
          <w:sz w:val="24"/>
          <w:szCs w:val="24"/>
        </w:rPr>
        <w:t xml:space="preserve">6.2.4. Conexión con la investigación y la práctica:</w:t>
      </w:r>
    </w:p>
    <w:p>
      <w:pPr>
        <w:spacing w:after="120" w:line="360"/>
        <w:jc w:val="both"/>
      </w:pPr>
      <w:r>
        <w:rPr>
          <w:rFonts w:ascii="Calibri" w:cs="Calibri" w:eastAsia="Calibri" w:hAnsi="Calibri"/>
          <w:sz w:val="24"/>
          <w:szCs w:val="24"/>
        </w:rPr>
        <w:t xml:space="preserve">El programa tendrá una sólida conexión entre la investigación y la práctica. Desde los primeros ciclos, el estudiante recibirá formación investigativa en líneas pertinentes a la región: productos naturales y fitoquímica de la flora del bosque seco y de la costa norte; farmacovigilancia y uso racional de medicamentos; control de calidad y detección de medicamentos falsificados, en articulación con la GERESA y DIGEMID; bioquímica clínica y molecular aplicada a enfermedades crónicas, metabólicas y tropicales; y bromatología aplicada a la agroexportación. La práctica preprofesional (internado en farmacia comunitaria, hospitalaria, clínica e industrial) se desarrollará mediante convenios con la GERESA Lambayeque, EsSalud, clínicas privadas, laboratorios, cadenas de boticas y droguerías.</w:t>
      </w:r>
    </w:p>
    <w:p>
      <w:pPr>
        <w:keepNext/>
        <w:spacing w:after="100" w:before="160" w:line="360"/>
        <w:jc w:val="both"/>
      </w:pPr>
      <w:r>
        <w:rPr>
          <w:rFonts w:ascii="Calibri" w:cs="Calibri" w:eastAsia="Calibri" w:hAnsi="Calibri"/>
          <w:b/>
          <w:bCs/>
          <w:sz w:val="24"/>
          <w:szCs w:val="24"/>
        </w:rPr>
        <w:t xml:space="preserve">6.2.5. Relación directa con la Bioquímica:</w:t>
      </w:r>
    </w:p>
    <w:p>
      <w:pPr>
        <w:spacing w:after="120" w:line="360"/>
        <w:jc w:val="both"/>
      </w:pPr>
      <w:r>
        <w:rPr>
          <w:rFonts w:ascii="Calibri" w:cs="Calibri" w:eastAsia="Calibri" w:hAnsi="Calibri"/>
          <w:sz w:val="24"/>
          <w:szCs w:val="24"/>
        </w:rPr>
        <w:t xml:space="preserve">Dentro del macrogrupo de ciencias de la salud, Farmacia y Bioquímica ocupa un nicho distinto al de Medicina o Enfermería. Mientras estas últimas se enfocan prioritariamente en el cuidado clínico directo del paciente, la orientación bioquímico-farmacéutica responde a un perfil técnico-científico e industrial. En el contexto de Chiclayo y la región Lambayeque, el componente bioquímico se vincula con la demanda del mercado en cuatro ejes clave:</w:t>
      </w:r>
    </w:p>
    <w:p>
      <w:pPr>
        <w:keepNext/>
        <w:spacing w:after="60" w:before="160"/>
        <w:jc w:val="center"/>
      </w:pPr>
      <w:r>
        <w:rPr>
          <w:rFonts w:ascii="Calibri" w:cs="Calibri" w:eastAsia="Calibri" w:hAnsi="Calibri"/>
          <w:sz w:val="22"/>
          <w:szCs w:val="22"/>
        </w:rPr>
        <w:t xml:space="preserve">Tabla 10. Ejes de demanda del componente bioquímico en Lambayeque</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200"/>
      </w:tblGrid>
      <w:tr>
        <w:trPr>
          <w:tblHeader/>
        </w:trPr>
        <w:tc>
          <w:tcPr>
            <w:tcW w:type="dxa" w:w="20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Eje</w:t>
            </w:r>
          </w:p>
        </w:tc>
        <w:tc>
          <w:tcPr>
            <w:tcW w:type="dxa" w:w="32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Aplicación</w:t>
            </w:r>
          </w:p>
        </w:tc>
        <w:tc>
          <w:tcPr>
            <w:tcW w:type="dxa" w:w="32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Impacto o rol en la región</w:t>
            </w:r>
          </w:p>
        </w:tc>
      </w:tr>
      <w:tr>
        <w:trPr>
          <w:cantSplit/>
        </w:trPr>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Diagnóstico analítico y biología molecular</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Diagnóstico clínico en laboratorios de análisis biológicos, inmunológicos y hematológicos (redes MINSA, EsSalud y clínicas privadas).</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Chiclayo es centro de referencia médico para Cajamarca, Amazonas y San Martín, y concentra la toma y el procesamiento de muestras de alta complejidad.</w:t>
            </w:r>
          </w:p>
        </w:tc>
      </w:tr>
      <w:tr>
        <w:trPr>
          <w:cantSplit/>
        </w:trPr>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Biotecnología y control microbiológico agroindustrial</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Análisis microbiológico, fisicoquímico y de inocuidad en la industria alimentaria y agroexportadora del norte (Olmos, Zaña).</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Control de calidad de insumos, evaluación de residuos químico-biológicos y análisis de agua y alimentos. Los arándanos representan el 46,5 % de las exportaciones regionales (PRODUCE, 2024).</w:t>
            </w:r>
          </w:p>
        </w:tc>
      </w:tr>
      <w:tr>
        <w:trPr>
          <w:cantSplit/>
        </w:trPr>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Toxicología y farmacovigilancia</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Estudio de los efectos de sustancias químicas en organismos vivos y análisis toxicológicos forenses.</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Control del impacto ambiental de agroquímicos y metales pesados en las cuencas del norte.</w:t>
            </w:r>
          </w:p>
        </w:tc>
      </w:tr>
      <w:tr>
        <w:trPr>
          <w:cantSplit/>
        </w:trPr>
        <w:tc>
          <w:tcPr>
            <w:tcW w:type="dxa" w:w="2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Investigación biológica y sanitaria</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Epidemiología molecular y monitoreo de enfermedades endémicas o tropicales (dengue, leptospirosis).</w:t>
            </w:r>
          </w:p>
        </w:tc>
        <w:tc>
          <w:tcPr>
            <w:tcW w:type="dxa" w:w="3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Técnicas bioquímicas de diagnóstico rápido y caracterización de patógenos.</w:t>
            </w:r>
          </w:p>
        </w:tc>
      </w:tr>
    </w:tbl>
    <w:p>
      <w:pPr>
        <w:spacing w:after="120"/>
      </w:pPr>
    </w:p>
    <w:p>
      <w:pPr>
        <w:spacing w:after="120" w:line="360"/>
        <w:jc w:val="both"/>
      </w:pPr>
      <w:r>
        <w:rPr>
          <w:rFonts w:ascii="Calibri" w:cs="Calibri" w:eastAsia="Calibri" w:hAnsi="Calibri"/>
          <w:sz w:val="24"/>
          <w:szCs w:val="24"/>
        </w:rPr>
        <w:t xml:space="preserve">El atractivo vocacional de la carrera radica en que la Bioquímica aporta la base científica sólida (laboratorio, investigación y desarrollo) que complementa el ejercicio farmacéutico (gestión del medicamento, dispensación y regulación sanitaria), ampliando el campo laboral más allá de la farmacia asistencial o de cadena.</w:t>
      </w:r>
    </w:p>
    <w:p>
      <w:pPr>
        <w:keepNext/>
        <w:spacing w:after="100" w:before="160" w:line="360"/>
        <w:jc w:val="both"/>
      </w:pPr>
      <w:r>
        <w:rPr>
          <w:rFonts w:ascii="Calibri" w:cs="Calibri" w:eastAsia="Calibri" w:hAnsi="Calibri"/>
          <w:b/>
          <w:bCs/>
          <w:sz w:val="24"/>
          <w:szCs w:val="24"/>
        </w:rPr>
        <w:t xml:space="preserve">6.2.6. Potencial económico y social de la región donde se ubica el programa:</w:t>
      </w:r>
    </w:p>
    <w:p>
      <w:pPr>
        <w:spacing w:after="120" w:line="360"/>
        <w:jc w:val="both"/>
      </w:pPr>
      <w:r>
        <w:rPr>
          <w:rFonts w:ascii="Calibri" w:cs="Calibri" w:eastAsia="Calibri" w:hAnsi="Calibri"/>
          <w:sz w:val="24"/>
          <w:szCs w:val="24"/>
        </w:rPr>
        <w:t xml:space="preserve">De acuerdo con el BCRP, Lambayeque creció a un promedio anual de 2,7 % en 2015-2024, principalmente por los sectores agropecuario y telecomunicaciones. En 2024 su PBI creció 5,2 % y sus exportaciones aumentaron 13,7 %, lideradas por arándanos (46,5 %), café sin tostar (10,8 %), paltas (10,2 %) y uvas (6,8 %) (PRODUCE, p. 1). En enero de 2025, la actividad mantuvo su dinamismo: el sector agropecuario creció 6,2 %, la construcción 12,7 %, las exportaciones 33,6 % y la inversión pública 61,0 % (BCRP, Síntesis de Actividad Económica, enero 2025, p. 3).</w:t>
      </w:r>
    </w:p>
    <w:p>
      <w:pPr>
        <w:spacing w:after="120" w:line="360"/>
        <w:jc w:val="both"/>
      </w:pPr>
      <w:r>
        <w:rPr>
          <w:rFonts w:ascii="Calibri" w:cs="Calibri" w:eastAsia="Calibri" w:hAnsi="Calibri"/>
          <w:sz w:val="24"/>
          <w:szCs w:val="24"/>
        </w:rPr>
        <w:t xml:space="preserve">A mediados de 2024, ProInversión identificó </w:t>
      </w:r>
      <w:r>
        <w:rPr>
          <w:rFonts w:ascii="Calibri" w:cs="Calibri" w:eastAsia="Calibri" w:hAnsi="Calibri"/>
          <w:b/>
          <w:bCs/>
          <w:sz w:val="24"/>
          <w:szCs w:val="24"/>
        </w:rPr>
        <w:t xml:space="preserve">31 proyectos en la región por más de S/ 8 800 millones</w:t>
      </w:r>
      <w:r>
        <w:rPr>
          <w:rFonts w:ascii="Calibri" w:cs="Calibri" w:eastAsia="Calibri" w:hAnsi="Calibri"/>
          <w:sz w:val="24"/>
          <w:szCs w:val="24"/>
        </w:rPr>
        <w:t xml:space="preserve">, orientados a transporte, energía, </w:t>
      </w:r>
      <w:r>
        <w:rPr>
          <w:rFonts w:ascii="Calibri" w:cs="Calibri" w:eastAsia="Calibri" w:hAnsi="Calibri"/>
          <w:b/>
          <w:bCs/>
          <w:sz w:val="24"/>
          <w:szCs w:val="24"/>
        </w:rPr>
        <w:t xml:space="preserve">salud</w:t>
      </w:r>
      <w:r>
        <w:rPr>
          <w:rFonts w:ascii="Calibri" w:cs="Calibri" w:eastAsia="Calibri" w:hAnsi="Calibri"/>
          <w:sz w:val="24"/>
          <w:szCs w:val="24"/>
        </w:rPr>
        <w:t xml:space="preserve">, irrigación, vivienda e industria, entre ellos el parque industrial de Reque, de aproximadamente 3 000 hectáreas (BCRP, Caracterización, p. 11). La implementación de un programa de Farmacia y Bioquímica puede contribuir significativamente a mejorar el acceso a medicamentos seguros y de calidad, a la formalización del comercio farmacéutico y al desarrollo de la agroindustria y la industria regional de productos naturales.</w:t>
      </w:r>
    </w:p>
    <w:p>
      <w:pPr>
        <w:keepNext/>
        <w:spacing w:after="120" w:before="200"/>
        <w:ind w:left="284"/>
      </w:pPr>
      <w:r>
        <w:rPr>
          <w:rFonts w:ascii="Calibri" w:cs="Calibri" w:eastAsia="Calibri" w:hAnsi="Calibri"/>
          <w:color w:val="323E4F"/>
          <w:sz w:val="26"/>
          <w:szCs w:val="26"/>
        </w:rPr>
        <w:t xml:space="preserve">6.3. Análisis de la viabilidad del programa</w:t>
      </w:r>
    </w:p>
    <w:p>
      <w:pPr>
        <w:spacing w:after="120" w:line="360"/>
        <w:jc w:val="both"/>
      </w:pPr>
      <w:r>
        <w:rPr>
          <w:rFonts w:ascii="Calibri" w:cs="Calibri" w:eastAsia="Calibri" w:hAnsi="Calibri"/>
          <w:sz w:val="24"/>
          <w:szCs w:val="24"/>
        </w:rPr>
        <w:t xml:space="preserve">De las universidades y programas de formación universitaria en el departamento de Lambayeque, existen 6 universidades licenciadas (UNPRG, USAT, USS, UCV, UTP y USMP) con más de 125 programas de estudio y 96 355 matriculados en 2023; la </w:t>
      </w:r>
      <w:r>
        <w:rPr>
          <w:rFonts w:ascii="Calibri" w:cs="Calibri" w:eastAsia="Calibri" w:hAnsi="Calibri"/>
          <w:b/>
          <w:bCs/>
          <w:sz w:val="24"/>
          <w:szCs w:val="24"/>
        </w:rPr>
        <w:t xml:space="preserve">USS es la universidad con mayor matrícula de la región (37 517 estudiantes en 2023)</w:t>
      </w:r>
      <w:r>
        <w:rPr>
          <w:rFonts w:ascii="Calibri" w:cs="Calibri" w:eastAsia="Calibri" w:hAnsi="Calibri"/>
          <w:sz w:val="24"/>
          <w:szCs w:val="24"/>
        </w:rPr>
        <w:t xml:space="preserve"> (INEI, Compendio Estadístico Lambayeque 2024, en OSEL 2025, pp. 47-49). La única universidad licenciada identificada con Farmacia y Bioquímica es la UTP en Chiclayo, que abrió la carrera recién en 2025 (240 ingresantes en todas sus sedes); la UNPRG no la ofrece. Las universidades que ofrecían la carrera sin licencia (Universidad de Chiclayo) o que operaban en la región sin licencia (Universidad de Lambayeque y Universidad Juan Mejía Baca) se encuentran en cese, lo que deja una demanda regional desatendida y estudiantes que se trasladan a otras ciudades.</w:t>
      </w:r>
    </w:p>
    <w:p>
      <w:pPr>
        <w:spacing w:after="120" w:line="360"/>
        <w:jc w:val="both"/>
      </w:pPr>
      <w:r>
        <w:rPr>
          <w:rFonts w:ascii="Calibri" w:cs="Calibri" w:eastAsia="Calibri" w:hAnsi="Calibri"/>
          <w:sz w:val="24"/>
          <w:szCs w:val="24"/>
        </w:rPr>
        <w:t xml:space="preserve">La Universidad Señor de Sipán ha demostrado un buen manejo de los recursos económicos y financieros, ya que cumple con los proveedores, los trabajadores y el Estado, pagando puntualmente sus obligaciones.</w:t>
      </w:r>
    </w:p>
    <w:p>
      <w:pPr>
        <w:spacing w:after="120" w:line="360"/>
        <w:jc w:val="both"/>
      </w:pPr>
      <w:r>
        <w:rPr>
          <w:rFonts w:ascii="Calibri" w:cs="Calibri" w:eastAsia="Calibri" w:hAnsi="Calibri"/>
          <w:sz w:val="24"/>
          <w:szCs w:val="24"/>
        </w:rPr>
        <w:t xml:space="preserve">Respecto de sus recursos humanos, los perfiles docentes exigen maestría y doctorado; para esta carrera se requiere contar con Químicos Farmacéuticos con grado de maestro o doctor y especialistas en farmacia clínica, farmacognosia, tecnología farmacéutica, análisis clínicos y bioquímica </w:t>
      </w:r>
      <w:r>
        <w:rPr>
          <w:rFonts w:ascii="Calibri" w:cs="Calibri" w:eastAsia="Calibri" w:hAnsi="Calibri"/>
          <w:b/>
          <w:bCs/>
          <w:sz w:val="24"/>
          <w:szCs w:val="24"/>
          <w:shd w:fill="FFFF00" w:color="auto" w:val="clear"/>
        </w:rPr>
        <w:t xml:space="preserve">[DATO PENDIENTE]</w:t>
      </w:r>
      <w:r>
        <w:rPr>
          <w:rFonts w:ascii="Calibri" w:cs="Calibri" w:eastAsia="Calibri" w:hAnsi="Calibri"/>
          <w:sz w:val="24"/>
          <w:szCs w:val="24"/>
        </w:rPr>
        <w:t xml:space="preserve">.</w:t>
      </w:r>
    </w:p>
    <w:p>
      <w:pPr>
        <w:spacing w:after="120" w:line="360"/>
        <w:jc w:val="both"/>
      </w:pPr>
      <w:r>
        <w:rPr>
          <w:rFonts w:ascii="Calibri" w:cs="Calibri" w:eastAsia="Calibri" w:hAnsi="Calibri"/>
          <w:sz w:val="24"/>
          <w:szCs w:val="24"/>
        </w:rPr>
        <w:t xml:space="preserve">En cuanto a los recursos materiales, además de la infraestructura moderna de la USS, el programa requiere laboratorios especializados (química general y orgánica, análisis instrumental, farmacognosia, tecnología farmacéutica, microbiología, bioquímica clínica y biología molecular, y farmacia simulada) que cumplan las Condiciones Básicas de Calidad </w:t>
      </w:r>
      <w:r>
        <w:rPr>
          <w:rFonts w:ascii="Calibri" w:cs="Calibri" w:eastAsia="Calibri" w:hAnsi="Calibri"/>
          <w:b/>
          <w:bCs/>
          <w:sz w:val="24"/>
          <w:szCs w:val="24"/>
          <w:shd w:fill="FFFF00" w:color="auto" w:val="clear"/>
        </w:rPr>
        <w:t xml:space="preserve">[VERIFICAR]</w:t>
      </w:r>
      <w:r>
        <w:rPr>
          <w:rFonts w:ascii="Calibri" w:cs="Calibri" w:eastAsia="Calibri" w:hAnsi="Calibri"/>
          <w:sz w:val="24"/>
          <w:szCs w:val="24"/>
        </w:rPr>
        <w:t xml:space="preserve">. Los recursos tecnológicos de la USS son desarrollados por sus técnicos y se hace un uso eficiente de las aplicaciones de la red.</w:t>
      </w:r>
    </w:p>
    <w:p>
      <w:pPr>
        <w:keepNext/>
        <w:spacing w:after="160" w:before="240"/>
      </w:pPr>
      <w:r>
        <w:rPr>
          <w:rFonts w:ascii="Calibri" w:cs="Calibri" w:eastAsia="Calibri" w:hAnsi="Calibri"/>
          <w:color w:val="323E4F"/>
          <w:sz w:val="28"/>
          <w:szCs w:val="28"/>
        </w:rPr>
        <w:t xml:space="preserve">VII.- PROPUESTA USS</w:t>
      </w:r>
    </w:p>
    <w:p>
      <w:pPr>
        <w:spacing w:after="120" w:line="360"/>
        <w:jc w:val="both"/>
      </w:pPr>
      <w:r>
        <w:rPr>
          <w:rFonts w:ascii="Calibri" w:cs="Calibri" w:eastAsia="Calibri" w:hAnsi="Calibri"/>
          <w:b/>
          <w:bCs/>
          <w:sz w:val="24"/>
          <w:szCs w:val="24"/>
        </w:rPr>
        <w:t xml:space="preserve">Misión:</w:t>
      </w:r>
      <w:r>
        <w:rPr>
          <w:rFonts w:ascii="Calibri" w:cs="Calibri" w:eastAsia="Calibri" w:hAnsi="Calibri"/>
          <w:sz w:val="24"/>
          <w:szCs w:val="24"/>
        </w:rPr>
        <w:t xml:space="preserve"> "Formar Químicos Farmacéuticos con perfil emprendedor, competitivos, éticos y comprometidos con la salud pública y la responsabilidad social".</w:t>
      </w:r>
    </w:p>
    <w:p>
      <w:pPr>
        <w:spacing w:after="120" w:line="360"/>
        <w:jc w:val="both"/>
      </w:pPr>
      <w:r>
        <w:rPr>
          <w:rFonts w:ascii="Calibri" w:cs="Calibri" w:eastAsia="Calibri" w:hAnsi="Calibri"/>
          <w:b/>
          <w:bCs/>
          <w:sz w:val="24"/>
          <w:szCs w:val="24"/>
        </w:rPr>
        <w:t xml:space="preserve">Visión:</w:t>
      </w:r>
      <w:r>
        <w:rPr>
          <w:rFonts w:ascii="Calibri" w:cs="Calibri" w:eastAsia="Calibri" w:hAnsi="Calibri"/>
          <w:sz w:val="24"/>
          <w:szCs w:val="24"/>
        </w:rPr>
        <w:t xml:space="preserve"> "Ser la Escuela Profesional de Farmacia y Bioquímica líder del norte del país, con proyección internacional, con base en la excelencia académica, la investigación, la infraestructura de laboratorios y la tecnología, que responda a las necesidades sanitarias de la sociedad".</w:t>
      </w:r>
    </w:p>
    <w:p>
      <w:pPr>
        <w:keepNext/>
        <w:spacing w:after="120" w:before="200"/>
        <w:ind w:left="284"/>
      </w:pPr>
      <w:r>
        <w:rPr>
          <w:rFonts w:ascii="Calibri" w:cs="Calibri" w:eastAsia="Calibri" w:hAnsi="Calibri"/>
          <w:color w:val="323E4F"/>
          <w:sz w:val="26"/>
          <w:szCs w:val="26"/>
        </w:rPr>
        <w:t xml:space="preserve">7.1.- OBJETIVOS ACADÉMICOS</w:t>
      </w:r>
    </w:p>
    <w:p>
      <w:pPr>
        <w:pStyle w:val="ListParagraph"/>
        <w:numPr>
          <w:ilvl w:val="0"/>
          <w:numId w:val="2"/>
        </w:numPr>
        <w:spacing w:after="80" w:line="360"/>
        <w:jc w:val="both"/>
      </w:pPr>
      <w:r>
        <w:rPr>
          <w:rFonts w:ascii="Calibri" w:cs="Calibri" w:eastAsia="Calibri" w:hAnsi="Calibri"/>
          <w:sz w:val="24"/>
          <w:szCs w:val="24"/>
        </w:rPr>
        <w:t xml:space="preserve">Formar profesionales en Farmacia y Bioquímica caracterizados por su excelencia académica, su mentalidad emprendedora y su capacidad de discernimiento.</w:t>
      </w:r>
    </w:p>
    <w:p>
      <w:pPr>
        <w:pStyle w:val="ListParagraph"/>
        <w:numPr>
          <w:ilvl w:val="0"/>
          <w:numId w:val="2"/>
        </w:numPr>
        <w:spacing w:after="80" w:line="360"/>
        <w:jc w:val="both"/>
      </w:pPr>
      <w:r>
        <w:rPr>
          <w:rFonts w:ascii="Calibri" w:cs="Calibri" w:eastAsia="Calibri" w:hAnsi="Calibri"/>
          <w:sz w:val="24"/>
          <w:szCs w:val="24"/>
        </w:rPr>
        <w:t xml:space="preserve">Formar Químicos Farmacéuticos competentes y éticos en el diseño, la producción, el control de calidad, la dispensación y el seguimiento del uso de medicamentos, a fin de contribuir a la mejora de la salud y la calidad de vida.</w:t>
      </w:r>
    </w:p>
    <w:p>
      <w:pPr>
        <w:pStyle w:val="ListParagraph"/>
        <w:numPr>
          <w:ilvl w:val="0"/>
          <w:numId w:val="2"/>
        </w:numPr>
        <w:spacing w:after="80" w:line="360"/>
        <w:jc w:val="both"/>
      </w:pPr>
      <w:r>
        <w:rPr>
          <w:rFonts w:ascii="Calibri" w:cs="Calibri" w:eastAsia="Calibri" w:hAnsi="Calibri"/>
          <w:sz w:val="24"/>
          <w:szCs w:val="24"/>
        </w:rPr>
        <w:t xml:space="preserve">Promover la investigación en productos naturales, farmacología, bioquímica y salud pública.</w:t>
      </w:r>
    </w:p>
    <w:p>
      <w:pPr>
        <w:pStyle w:val="ListParagraph"/>
        <w:numPr>
          <w:ilvl w:val="0"/>
          <w:numId w:val="2"/>
        </w:numPr>
        <w:spacing w:after="80" w:line="360"/>
        <w:jc w:val="both"/>
      </w:pPr>
      <w:r>
        <w:rPr>
          <w:rFonts w:ascii="Calibri" w:cs="Calibri" w:eastAsia="Calibri" w:hAnsi="Calibri"/>
          <w:sz w:val="24"/>
          <w:szCs w:val="24"/>
        </w:rPr>
        <w:t xml:space="preserve">Fomentar la Responsabilidad Social Universitaria mediante campañas de uso racional de medicamentos y prevención de la automedicación.</w:t>
      </w:r>
    </w:p>
    <w:p>
      <w:pPr>
        <w:pStyle w:val="ListParagraph"/>
        <w:numPr>
          <w:ilvl w:val="0"/>
          <w:numId w:val="2"/>
        </w:numPr>
        <w:spacing w:after="80" w:line="360"/>
        <w:jc w:val="both"/>
      </w:pPr>
      <w:r>
        <w:rPr>
          <w:rFonts w:ascii="Calibri" w:cs="Calibri" w:eastAsia="Calibri" w:hAnsi="Calibri"/>
          <w:sz w:val="24"/>
          <w:szCs w:val="24"/>
        </w:rPr>
        <w:t xml:space="preserve">Impulsar la participación de docentes y estudiantes en iniciativas de internacionalización.</w:t>
      </w:r>
    </w:p>
    <w:p>
      <w:pPr>
        <w:keepNext/>
        <w:spacing w:after="120" w:before="200"/>
        <w:ind w:left="284"/>
      </w:pPr>
      <w:r>
        <w:rPr>
          <w:rFonts w:ascii="Calibri" w:cs="Calibri" w:eastAsia="Calibri" w:hAnsi="Calibri"/>
          <w:color w:val="323E4F"/>
          <w:sz w:val="26"/>
          <w:szCs w:val="26"/>
        </w:rPr>
        <w:t xml:space="preserve">7.2.- OBJETIVOS EDUCACIONALES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tblGrid>
      <w:tr>
        <w:trPr>
          <w:tblHeader/>
        </w:trPr>
        <w:tc>
          <w:tcPr>
            <w:tcW w:type="dxa" w:w="25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COMPETENCIA</w:t>
            </w:r>
          </w:p>
        </w:tc>
        <w:tc>
          <w:tcPr>
            <w:tcW w:type="dxa" w:w="59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OBJETIVO EDUCACIONAL</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OE1. Emprendedora</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Genera empresa o participa en iniciativas emprendedoras del sector farmacéutico (boticas, droguerías, laboratorios de productos naturales).</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OE2. Colaborativa</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Participa en equipos multidisciplinarios de salud.</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OE3. Responsabilidad social</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Aplica principios de responsabilidad social y sanitaria en las organizaciones donde labora.</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OE4. Disciplinar</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Aplica conocimientos de las ciencias farmacéuticas y bioquímicas con sentido crítico.</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OE5. Comunicativa</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Se comunica de manera efectiva, oral y escrita, con pacientes y equipos de salud.</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OE6. Analítica</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Diseña y ejecuta análisis de control de calidad de medicamentos, alimentos y muestras biológicas.</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OE7. Asistencial</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Brinda atención farmacéutica y seguimiento farmacoterapéutico con sentido ético.</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OE8. Gestión</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Gestiona el suministro de medicamentos y los establecimientos farmacéuticos cumpliendo la normativa sanitaria.</w:t>
            </w:r>
          </w:p>
        </w:tc>
      </w:tr>
    </w:tbl>
    <w:p>
      <w:pPr>
        <w:spacing w:after="120"/>
      </w:pPr>
    </w:p>
    <w:p>
      <w:pPr>
        <w:keepNext/>
        <w:spacing w:after="120" w:before="200"/>
        <w:ind w:left="284"/>
      </w:pPr>
      <w:r>
        <w:rPr>
          <w:rFonts w:ascii="Calibri" w:cs="Calibri" w:eastAsia="Calibri" w:hAnsi="Calibri"/>
          <w:color w:val="323E4F"/>
          <w:sz w:val="26"/>
          <w:szCs w:val="26"/>
        </w:rPr>
        <w:t xml:space="preserve">7.3.- PERFIL DE INGRESO</w:t>
      </w:r>
    </w:p>
    <w:p>
      <w:pPr>
        <w:spacing w:after="120" w:line="360"/>
        <w:jc w:val="both"/>
      </w:pPr>
      <w:r>
        <w:rPr>
          <w:rFonts w:ascii="Calibri" w:cs="Calibri" w:eastAsia="Calibri" w:hAnsi="Calibri"/>
          <w:sz w:val="24"/>
          <w:szCs w:val="24"/>
        </w:rPr>
        <w:t xml:space="preserve">Los futuros estudiantes del programa de estudios de Farmacia y Bioquímica deberán reunir como mínimo el siguiente perfil:</w:t>
      </w:r>
    </w:p>
    <w:p>
      <w:pPr>
        <w:pStyle w:val="ListParagraph"/>
        <w:numPr>
          <w:ilvl w:val="0"/>
          <w:numId w:val="2"/>
        </w:numPr>
        <w:spacing w:after="80" w:line="360"/>
        <w:jc w:val="both"/>
      </w:pPr>
      <w:r>
        <w:rPr>
          <w:rFonts w:ascii="Calibri" w:cs="Calibri" w:eastAsia="Calibri" w:hAnsi="Calibri"/>
          <w:sz w:val="24"/>
          <w:szCs w:val="24"/>
        </w:rPr>
        <w:t xml:space="preserve">a) Resuelve problemas contextualizados de la vida cotidiana para tomar decisiones y comunicar resultados en un lenguaje matemático.</w:t>
      </w:r>
    </w:p>
    <w:p>
      <w:pPr>
        <w:pStyle w:val="ListParagraph"/>
        <w:numPr>
          <w:ilvl w:val="0"/>
          <w:numId w:val="2"/>
        </w:numPr>
        <w:spacing w:after="80" w:line="360"/>
        <w:jc w:val="both"/>
      </w:pPr>
      <w:r>
        <w:rPr>
          <w:rFonts w:ascii="Calibri" w:cs="Calibri" w:eastAsia="Calibri" w:hAnsi="Calibri"/>
          <w:sz w:val="24"/>
          <w:szCs w:val="24"/>
        </w:rPr>
        <w:t xml:space="preserve">b) Comprende textos escritos para comunicarse de manera efectiva en contextos diversos.</w:t>
      </w:r>
    </w:p>
    <w:p>
      <w:pPr>
        <w:pStyle w:val="ListParagraph"/>
        <w:numPr>
          <w:ilvl w:val="0"/>
          <w:numId w:val="2"/>
        </w:numPr>
        <w:spacing w:after="80" w:line="360"/>
        <w:jc w:val="both"/>
      </w:pPr>
      <w:r>
        <w:rPr>
          <w:rFonts w:ascii="Calibri" w:cs="Calibri" w:eastAsia="Calibri" w:hAnsi="Calibri"/>
          <w:sz w:val="24"/>
          <w:szCs w:val="24"/>
        </w:rPr>
        <w:t xml:space="preserve">c) Aplica habilidades de trabajo en equipo y aprendizaje autónomo en entornos académicos.</w:t>
      </w:r>
    </w:p>
    <w:p>
      <w:pPr>
        <w:pStyle w:val="ListParagraph"/>
        <w:numPr>
          <w:ilvl w:val="0"/>
          <w:numId w:val="2"/>
        </w:numPr>
        <w:spacing w:after="80" w:line="360"/>
        <w:jc w:val="both"/>
      </w:pPr>
      <w:r>
        <w:rPr>
          <w:rFonts w:ascii="Calibri" w:cs="Calibri" w:eastAsia="Calibri" w:hAnsi="Calibri"/>
          <w:sz w:val="24"/>
          <w:szCs w:val="24"/>
        </w:rPr>
        <w:t xml:space="preserve">d) Comprende de manera interdisciplinaria los eventos históricos, las características geográficas y los principios cívicos.</w:t>
      </w:r>
    </w:p>
    <w:p>
      <w:pPr>
        <w:pStyle w:val="ListParagraph"/>
        <w:numPr>
          <w:ilvl w:val="0"/>
          <w:numId w:val="2"/>
        </w:numPr>
        <w:spacing w:after="80" w:line="360"/>
        <w:jc w:val="both"/>
      </w:pPr>
      <w:r>
        <w:rPr>
          <w:rFonts w:ascii="Calibri" w:cs="Calibri" w:eastAsia="Calibri" w:hAnsi="Calibri"/>
          <w:sz w:val="24"/>
          <w:szCs w:val="24"/>
        </w:rPr>
        <w:t xml:space="preserve">e) Demuestra interés por las ciencias químicas y biológicas y vocación de servicio en salud.</w:t>
      </w:r>
    </w:p>
    <w:p>
      <w:pPr>
        <w:keepNext/>
        <w:spacing w:after="120" w:before="200"/>
        <w:ind w:left="284"/>
      </w:pPr>
      <w:r>
        <w:rPr>
          <w:rFonts w:ascii="Calibri" w:cs="Calibri" w:eastAsia="Calibri" w:hAnsi="Calibri"/>
          <w:color w:val="323E4F"/>
          <w:sz w:val="26"/>
          <w:szCs w:val="26"/>
        </w:rPr>
        <w:t xml:space="preserve">7.4.- PERFIL DE EGRESO/GRADUADO</w:t>
      </w:r>
    </w:p>
    <w:p>
      <w:pPr>
        <w:spacing w:after="120" w:line="360"/>
        <w:jc w:val="both"/>
      </w:pPr>
      <w:r>
        <w:rPr>
          <w:rFonts w:ascii="Calibri" w:cs="Calibri" w:eastAsia="Calibri" w:hAnsi="Calibri"/>
          <w:b/>
          <w:bCs/>
          <w:sz w:val="24"/>
          <w:szCs w:val="24"/>
        </w:rPr>
        <w:t xml:space="preserve">A.- Competencias genéricas:</w:t>
      </w:r>
      <w:r>
        <w:rPr>
          <w:rFonts w:ascii="Calibri" w:cs="Calibri" w:eastAsia="Calibri" w:hAnsi="Calibri"/>
          <w:sz w:val="24"/>
          <w:szCs w:val="24"/>
        </w:rPr>
        <w:t xml:space="preserve"> se mantienen las competencias institucionales de la USS: CG1 Emprendedora, CG2 Glocal, CG3 Pensamiento crítico, CG4 Investigativa, CG5 Responsabilidad social y CG6 Digital.</w:t>
      </w:r>
    </w:p>
    <w:p>
      <w:pPr>
        <w:spacing w:after="120" w:line="360"/>
        <w:jc w:val="both"/>
      </w:pPr>
      <w:r>
        <w:rPr>
          <w:rFonts w:ascii="Calibri" w:cs="Calibri" w:eastAsia="Calibri" w:hAnsi="Calibri"/>
          <w:b/>
          <w:bCs/>
          <w:sz w:val="24"/>
          <w:szCs w:val="24"/>
        </w:rPr>
        <w:t xml:space="preserve">B.- Competencias específicas (propuesta):</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tblGrid>
      <w:tr>
        <w:trPr>
          <w:tblHeader/>
        </w:trPr>
        <w:tc>
          <w:tcPr>
            <w:tcW w:type="dxa" w:w="25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COMPETENCIA</w:t>
            </w:r>
          </w:p>
        </w:tc>
        <w:tc>
          <w:tcPr>
            <w:tcW w:type="dxa" w:w="59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DESCRIPCIÓN DEL PERFIL</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CE1. Disciplinar</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Integra fundamentos de química, biología, fisiología y farmacología para comprender la acción de los medicamentos y los procesos bioquímicos del organismo.</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CE2. Tecnología farmacéutica</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Diseña, elabora y controla formas farmacéuticas y productos naturales según las Buenas Prácticas de Manufactura.</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CE3. Análisis y control de calidad</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Ejecuta análisis fisicoquímicos, microbiológicos y bioquímico-clínicos de medicamentos, alimentos y muestras biológicas con rigor científico.</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CE4. Atención farmacéutica</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Dispensa, brinda seguimiento farmacoterapéutico y realiza farmacovigilancia para promover el uso racional de medicamentos.</w:t>
            </w:r>
          </w:p>
        </w:tc>
      </w:tr>
      <w:tr>
        <w:trPr>
          <w:cantSplit/>
        </w:trPr>
        <w:tc>
          <w:tcPr>
            <w:tcW w:type="dxa" w:w="2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CE5. Gestión</w:t>
            </w:r>
          </w:p>
        </w:tc>
        <w:tc>
          <w:tcPr>
            <w:tcW w:type="dxa" w:w="59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Gestiona establecimientos farmacéuticos y el suministro de medicamentos en los sectores público y privado según la normativa sanitaria (Ley N.° 29459).</w:t>
            </w:r>
          </w:p>
        </w:tc>
      </w:tr>
    </w:tbl>
    <w:p>
      <w:pPr>
        <w:spacing w:after="120"/>
      </w:pPr>
    </w:p>
    <w:p>
      <w:pPr>
        <w:keepNext/>
        <w:spacing w:after="120" w:before="200"/>
        <w:ind w:left="284"/>
      </w:pPr>
      <w:r>
        <w:rPr>
          <w:rFonts w:ascii="Calibri" w:cs="Calibri" w:eastAsia="Calibri" w:hAnsi="Calibri"/>
          <w:color w:val="323E4F"/>
          <w:sz w:val="26"/>
          <w:szCs w:val="26"/>
        </w:rPr>
        <w:t xml:space="preserve">7.5.- CONTENIDOS GENERALES Y ESPECÍFICOS</w:t>
      </w:r>
    </w:p>
    <w:p>
      <w:pPr>
        <w:spacing w:after="120" w:line="360"/>
        <w:jc w:val="both"/>
      </w:pPr>
      <w:r>
        <w:rPr>
          <w:rFonts w:ascii="Calibri" w:cs="Calibri" w:eastAsia="Calibri" w:hAnsi="Calibri"/>
          <w:b/>
          <w:bCs/>
          <w:sz w:val="24"/>
          <w:szCs w:val="24"/>
        </w:rPr>
        <w:t xml:space="preserve">a. Contenidos generales:</w:t>
      </w:r>
      <w:r>
        <w:rPr>
          <w:rFonts w:ascii="Calibri" w:cs="Calibri" w:eastAsia="Calibri" w:hAnsi="Calibri"/>
          <w:sz w:val="24"/>
          <w:szCs w:val="24"/>
        </w:rPr>
        <w:t xml:space="preserve"> se mantienen los institucionales (emprendimiento, escenarios locales y globales, investigación científica, responsabilidad social, tecnologías de la información, realidad virtual e inteligencia artificial).</w:t>
      </w:r>
    </w:p>
    <w:p>
      <w:pPr>
        <w:spacing w:after="120" w:line="360"/>
        <w:jc w:val="both"/>
      </w:pPr>
      <w:r>
        <w:rPr>
          <w:rFonts w:ascii="Calibri" w:cs="Calibri" w:eastAsia="Calibri" w:hAnsi="Calibri"/>
          <w:b/>
          <w:bCs/>
          <w:sz w:val="24"/>
          <w:szCs w:val="24"/>
        </w:rPr>
        <w:t xml:space="preserve">b. Contenidos específicos (propuesta):</w:t>
      </w:r>
    </w:p>
    <w:p>
      <w:pPr>
        <w:pStyle w:val="ListParagraph"/>
        <w:numPr>
          <w:ilvl w:val="0"/>
          <w:numId w:val="2"/>
        </w:numPr>
        <w:spacing w:after="80" w:line="360"/>
        <w:jc w:val="both"/>
      </w:pPr>
      <w:r>
        <w:rPr>
          <w:rFonts w:ascii="Calibri" w:cs="Calibri" w:eastAsia="Calibri" w:hAnsi="Calibri"/>
          <w:sz w:val="24"/>
          <w:szCs w:val="24"/>
        </w:rPr>
        <w:t xml:space="preserve">Química general, inorgánica, orgánica y analítica</w:t>
      </w:r>
    </w:p>
    <w:p>
      <w:pPr>
        <w:pStyle w:val="ListParagraph"/>
        <w:numPr>
          <w:ilvl w:val="0"/>
          <w:numId w:val="2"/>
        </w:numPr>
        <w:spacing w:after="80" w:line="360"/>
        <w:jc w:val="both"/>
      </w:pPr>
      <w:r>
        <w:rPr>
          <w:rFonts w:ascii="Calibri" w:cs="Calibri" w:eastAsia="Calibri" w:hAnsi="Calibri"/>
          <w:sz w:val="24"/>
          <w:szCs w:val="24"/>
        </w:rPr>
        <w:t xml:space="preserve">Bioquímica</w:t>
      </w:r>
    </w:p>
    <w:p>
      <w:pPr>
        <w:pStyle w:val="ListParagraph"/>
        <w:numPr>
          <w:ilvl w:val="0"/>
          <w:numId w:val="2"/>
        </w:numPr>
        <w:spacing w:after="80" w:line="360"/>
        <w:jc w:val="both"/>
      </w:pPr>
      <w:r>
        <w:rPr>
          <w:rFonts w:ascii="Calibri" w:cs="Calibri" w:eastAsia="Calibri" w:hAnsi="Calibri"/>
          <w:sz w:val="24"/>
          <w:szCs w:val="24"/>
        </w:rPr>
        <w:t xml:space="preserve">Fisiología y anatomía</w:t>
      </w:r>
    </w:p>
    <w:p>
      <w:pPr>
        <w:pStyle w:val="ListParagraph"/>
        <w:numPr>
          <w:ilvl w:val="0"/>
          <w:numId w:val="2"/>
        </w:numPr>
        <w:spacing w:after="80" w:line="360"/>
        <w:jc w:val="both"/>
      </w:pPr>
      <w:r>
        <w:rPr>
          <w:rFonts w:ascii="Calibri" w:cs="Calibri" w:eastAsia="Calibri" w:hAnsi="Calibri"/>
          <w:sz w:val="24"/>
          <w:szCs w:val="24"/>
        </w:rPr>
        <w:t xml:space="preserve">Microbiología y parasitología</w:t>
      </w:r>
    </w:p>
    <w:p>
      <w:pPr>
        <w:pStyle w:val="ListParagraph"/>
        <w:numPr>
          <w:ilvl w:val="0"/>
          <w:numId w:val="2"/>
        </w:numPr>
        <w:spacing w:after="80" w:line="360"/>
        <w:jc w:val="both"/>
      </w:pPr>
      <w:r>
        <w:rPr>
          <w:rFonts w:ascii="Calibri" w:cs="Calibri" w:eastAsia="Calibri" w:hAnsi="Calibri"/>
          <w:sz w:val="24"/>
          <w:szCs w:val="24"/>
        </w:rPr>
        <w:t xml:space="preserve">Farmacognosia y fitoquímica</w:t>
      </w:r>
    </w:p>
    <w:p>
      <w:pPr>
        <w:pStyle w:val="ListParagraph"/>
        <w:numPr>
          <w:ilvl w:val="0"/>
          <w:numId w:val="2"/>
        </w:numPr>
        <w:spacing w:after="80" w:line="360"/>
        <w:jc w:val="both"/>
      </w:pPr>
      <w:r>
        <w:rPr>
          <w:rFonts w:ascii="Calibri" w:cs="Calibri" w:eastAsia="Calibri" w:hAnsi="Calibri"/>
          <w:sz w:val="24"/>
          <w:szCs w:val="24"/>
        </w:rPr>
        <w:t xml:space="preserve">Farmacología y toxicología</w:t>
      </w:r>
    </w:p>
    <w:p>
      <w:pPr>
        <w:pStyle w:val="ListParagraph"/>
        <w:numPr>
          <w:ilvl w:val="0"/>
          <w:numId w:val="2"/>
        </w:numPr>
        <w:spacing w:after="80" w:line="360"/>
        <w:jc w:val="both"/>
      </w:pPr>
      <w:r>
        <w:rPr>
          <w:rFonts w:ascii="Calibri" w:cs="Calibri" w:eastAsia="Calibri" w:hAnsi="Calibri"/>
          <w:sz w:val="24"/>
          <w:szCs w:val="24"/>
        </w:rPr>
        <w:t xml:space="preserve">Tecnología farmacéutica</w:t>
      </w:r>
    </w:p>
    <w:p>
      <w:pPr>
        <w:pStyle w:val="ListParagraph"/>
        <w:numPr>
          <w:ilvl w:val="0"/>
          <w:numId w:val="2"/>
        </w:numPr>
        <w:spacing w:after="80" w:line="360"/>
        <w:jc w:val="both"/>
      </w:pPr>
      <w:r>
        <w:rPr>
          <w:rFonts w:ascii="Calibri" w:cs="Calibri" w:eastAsia="Calibri" w:hAnsi="Calibri"/>
          <w:sz w:val="24"/>
          <w:szCs w:val="24"/>
        </w:rPr>
        <w:t xml:space="preserve">Biofarmacia y farmacocinética</w:t>
      </w:r>
    </w:p>
    <w:p>
      <w:pPr>
        <w:pStyle w:val="ListParagraph"/>
        <w:numPr>
          <w:ilvl w:val="0"/>
          <w:numId w:val="2"/>
        </w:numPr>
        <w:spacing w:after="80" w:line="360"/>
        <w:jc w:val="both"/>
      </w:pPr>
      <w:r>
        <w:rPr>
          <w:rFonts w:ascii="Calibri" w:cs="Calibri" w:eastAsia="Calibri" w:hAnsi="Calibri"/>
          <w:sz w:val="24"/>
          <w:szCs w:val="24"/>
        </w:rPr>
        <w:t xml:space="preserve">Análisis de medicamentos y control de calidad</w:t>
      </w:r>
    </w:p>
    <w:p>
      <w:pPr>
        <w:pStyle w:val="ListParagraph"/>
        <w:numPr>
          <w:ilvl w:val="0"/>
          <w:numId w:val="2"/>
        </w:numPr>
        <w:spacing w:after="80" w:line="360"/>
        <w:jc w:val="both"/>
      </w:pPr>
      <w:r>
        <w:rPr>
          <w:rFonts w:ascii="Calibri" w:cs="Calibri" w:eastAsia="Calibri" w:hAnsi="Calibri"/>
          <w:sz w:val="24"/>
          <w:szCs w:val="24"/>
        </w:rPr>
        <w:t xml:space="preserve">Bromatología</w:t>
      </w:r>
    </w:p>
    <w:p>
      <w:pPr>
        <w:pStyle w:val="ListParagraph"/>
        <w:numPr>
          <w:ilvl w:val="0"/>
          <w:numId w:val="2"/>
        </w:numPr>
        <w:spacing w:after="80" w:line="360"/>
        <w:jc w:val="both"/>
      </w:pPr>
      <w:r>
        <w:rPr>
          <w:rFonts w:ascii="Calibri" w:cs="Calibri" w:eastAsia="Calibri" w:hAnsi="Calibri"/>
          <w:sz w:val="24"/>
          <w:szCs w:val="24"/>
        </w:rPr>
        <w:t xml:space="preserve">Bioquímica clínica</w:t>
      </w:r>
    </w:p>
    <w:p>
      <w:pPr>
        <w:pStyle w:val="ListParagraph"/>
        <w:numPr>
          <w:ilvl w:val="0"/>
          <w:numId w:val="2"/>
        </w:numPr>
        <w:spacing w:after="80" w:line="360"/>
        <w:jc w:val="both"/>
      </w:pPr>
      <w:r>
        <w:rPr>
          <w:rFonts w:ascii="Calibri" w:cs="Calibri" w:eastAsia="Calibri" w:hAnsi="Calibri"/>
          <w:sz w:val="24"/>
          <w:szCs w:val="24"/>
        </w:rPr>
        <w:t xml:space="preserve">Farmacia clínica y atención farmacéutica</w:t>
      </w:r>
    </w:p>
    <w:p>
      <w:pPr>
        <w:pStyle w:val="ListParagraph"/>
        <w:numPr>
          <w:ilvl w:val="0"/>
          <w:numId w:val="2"/>
        </w:numPr>
        <w:spacing w:after="80" w:line="360"/>
        <w:jc w:val="both"/>
      </w:pPr>
      <w:r>
        <w:rPr>
          <w:rFonts w:ascii="Calibri" w:cs="Calibri" w:eastAsia="Calibri" w:hAnsi="Calibri"/>
          <w:sz w:val="24"/>
          <w:szCs w:val="24"/>
        </w:rPr>
        <w:t xml:space="preserve">Farmacia hospitalaria</w:t>
      </w:r>
    </w:p>
    <w:p>
      <w:pPr>
        <w:pStyle w:val="ListParagraph"/>
        <w:numPr>
          <w:ilvl w:val="0"/>
          <w:numId w:val="2"/>
        </w:numPr>
        <w:spacing w:after="80" w:line="360"/>
        <w:jc w:val="both"/>
      </w:pPr>
      <w:r>
        <w:rPr>
          <w:rFonts w:ascii="Calibri" w:cs="Calibri" w:eastAsia="Calibri" w:hAnsi="Calibri"/>
          <w:sz w:val="24"/>
          <w:szCs w:val="24"/>
        </w:rPr>
        <w:t xml:space="preserve">Legislación farmacéutica y gestión de establecimientos</w:t>
      </w:r>
    </w:p>
    <w:p>
      <w:pPr>
        <w:pStyle w:val="ListParagraph"/>
        <w:numPr>
          <w:ilvl w:val="0"/>
          <w:numId w:val="2"/>
        </w:numPr>
        <w:spacing w:after="80" w:line="360"/>
        <w:jc w:val="both"/>
      </w:pPr>
      <w:r>
        <w:rPr>
          <w:rFonts w:ascii="Calibri" w:cs="Calibri" w:eastAsia="Calibri" w:hAnsi="Calibri"/>
          <w:sz w:val="24"/>
          <w:szCs w:val="24"/>
        </w:rPr>
        <w:t xml:space="preserve">Salud pública</w:t>
      </w:r>
    </w:p>
    <w:p>
      <w:pPr>
        <w:pStyle w:val="ListParagraph"/>
        <w:numPr>
          <w:ilvl w:val="0"/>
          <w:numId w:val="2"/>
        </w:numPr>
        <w:spacing w:after="80" w:line="360"/>
        <w:jc w:val="both"/>
      </w:pPr>
      <w:r>
        <w:rPr>
          <w:rFonts w:ascii="Calibri" w:cs="Calibri" w:eastAsia="Calibri" w:hAnsi="Calibri"/>
          <w:sz w:val="24"/>
          <w:szCs w:val="24"/>
        </w:rPr>
        <w:t xml:space="preserve">Investigación en ciencias farmacéuticas</w:t>
      </w:r>
    </w:p>
    <w:p>
      <w:pPr>
        <w:keepNext/>
        <w:spacing w:after="120" w:before="200"/>
        <w:ind w:left="284"/>
      </w:pPr>
      <w:r>
        <w:rPr>
          <w:rFonts w:ascii="Calibri" w:cs="Calibri" w:eastAsia="Calibri" w:hAnsi="Calibri"/>
          <w:color w:val="323E4F"/>
          <w:sz w:val="26"/>
          <w:szCs w:val="26"/>
        </w:rPr>
        <w:t xml:space="preserve">7.6.- ACTITUDES Y VALORES</w:t>
      </w:r>
    </w:p>
    <w:p>
      <w:pPr>
        <w:spacing w:after="120" w:line="360"/>
        <w:jc w:val="both"/>
      </w:pPr>
      <w:r>
        <w:rPr>
          <w:rFonts w:ascii="Calibri" w:cs="Calibri" w:eastAsia="Calibri" w:hAnsi="Calibri"/>
          <w:b/>
          <w:bCs/>
          <w:sz w:val="24"/>
          <w:szCs w:val="24"/>
        </w:rPr>
        <w:t xml:space="preserve">a. Actitudes y valores generales:</w:t>
      </w:r>
      <w:r>
        <w:rPr>
          <w:rFonts w:ascii="Calibri" w:cs="Calibri" w:eastAsia="Calibri" w:hAnsi="Calibri"/>
          <w:sz w:val="24"/>
          <w:szCs w:val="24"/>
        </w:rPr>
        <w:t xml:space="preserve"> enfoque de género, inclusivo y diferencial; actitud positiva basada en un enfoque intercultural; postura racional, crítica y objetiva; actuación ética; trabajo autónomo y colaborativo; tolerancia y vocación de servicio.</w:t>
      </w:r>
    </w:p>
    <w:p>
      <w:pPr>
        <w:spacing w:after="120" w:line="360"/>
        <w:jc w:val="both"/>
      </w:pPr>
      <w:r>
        <w:rPr>
          <w:rFonts w:ascii="Calibri" w:cs="Calibri" w:eastAsia="Calibri" w:hAnsi="Calibri"/>
          <w:b/>
          <w:bCs/>
          <w:sz w:val="24"/>
          <w:szCs w:val="24"/>
        </w:rPr>
        <w:t xml:space="preserve">b. Actitudes y valores propios de la disciplina:</w:t>
      </w:r>
      <w:r>
        <w:rPr>
          <w:rFonts w:ascii="Calibri" w:cs="Calibri" w:eastAsia="Calibri" w:hAnsi="Calibri"/>
          <w:sz w:val="24"/>
          <w:szCs w:val="24"/>
        </w:rPr>
        <w:t xml:space="preserve"> responsabilidad sanitaria, compromiso con la seguridad del paciente, rigor analítico, cumplimiento de la normativa farmacéutica, respeto por la interdisciplinariedad y trabajo en equipo.</w:t>
      </w:r>
    </w:p>
    <w:p>
      <w:pPr>
        <w:keepNext/>
        <w:spacing w:after="120" w:before="200"/>
        <w:ind w:left="284"/>
      </w:pPr>
      <w:r>
        <w:rPr>
          <w:rFonts w:ascii="Calibri" w:cs="Calibri" w:eastAsia="Calibri" w:hAnsi="Calibri"/>
          <w:color w:val="323E4F"/>
          <w:sz w:val="26"/>
          <w:szCs w:val="26"/>
        </w:rPr>
        <w:t xml:space="preserve">7.7.- Desempeño y campo laboral</w:t>
      </w:r>
    </w:p>
    <w:p>
      <w:pPr>
        <w:spacing w:after="120" w:line="360"/>
        <w:jc w:val="both"/>
      </w:pPr>
      <w:r>
        <w:rPr>
          <w:rFonts w:ascii="Calibri" w:cs="Calibri" w:eastAsia="Calibri" w:hAnsi="Calibri"/>
          <w:sz w:val="24"/>
          <w:szCs w:val="24"/>
        </w:rPr>
        <w:t xml:space="preserve">El egresado del programa de estudios de Farmacia y Bioquímica está capacitado para desempeñarse en los siguientes campos ocupacionales: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2800"/>
      </w:tblGrid>
      <w:tr>
        <w:trPr>
          <w:tblHeader/>
        </w:trPr>
        <w:tc>
          <w:tcPr>
            <w:tcW w:type="dxa" w:w="23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CAMPO OCUPACIONAL</w:t>
            </w:r>
          </w:p>
        </w:tc>
        <w:tc>
          <w:tcPr>
            <w:tcW w:type="dxa" w:w="33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FUNCIONES</w:t>
            </w:r>
          </w:p>
        </w:tc>
        <w:tc>
          <w:tcPr>
            <w:tcW w:type="dxa" w:w="28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INSTITUCIÓN O ÁREA DONDE SE DESEMPEÑARÁ</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Director técnico</w:t>
            </w:r>
          </w:p>
        </w:tc>
        <w:tc>
          <w:tcPr>
            <w:tcW w:type="dxa" w:w="3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Dirección técnica, dispensación, gestión y cumplimiento normativo</w:t>
            </w:r>
          </w:p>
        </w:tc>
        <w:tc>
          <w:tcPr>
            <w:tcW w:type="dxa" w:w="2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Farmacias, boticas, cadenas, droguerías</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Farmacéutico hospitalario y clínico</w:t>
            </w:r>
          </w:p>
        </w:tc>
        <w:tc>
          <w:tcPr>
            <w:tcW w:type="dxa" w:w="3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Gestión del suministro, farmacia clínica, farmacovigilancia, preparación de mezclas</w:t>
            </w:r>
          </w:p>
        </w:tc>
        <w:tc>
          <w:tcPr>
            <w:tcW w:type="dxa" w:w="2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Hospitales del MINSA/GERESA, EsSalud, clínicas</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Analista de control de calidad</w:t>
            </w:r>
          </w:p>
        </w:tc>
        <w:tc>
          <w:tcPr>
            <w:tcW w:type="dxa" w:w="3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Análisis de medicamentos, alimentos y cosméticos; control microbiológico e inocuidad</w:t>
            </w:r>
          </w:p>
        </w:tc>
        <w:tc>
          <w:tcPr>
            <w:tcW w:type="dxa" w:w="2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Laboratorios farmacéuticos, agroindustria y agroexportación</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Bioquímico clínico</w:t>
            </w:r>
          </w:p>
        </w:tc>
        <w:tc>
          <w:tcPr>
            <w:tcW w:type="dxa" w:w="3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Análisis clínicos, inmunológicos, hematológicos y de biología molecular</w:t>
            </w:r>
          </w:p>
        </w:tc>
        <w:tc>
          <w:tcPr>
            <w:tcW w:type="dxa" w:w="2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Laboratorios clínicos públicos y privados</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Toxicólogo</w:t>
            </w:r>
          </w:p>
        </w:tc>
        <w:tc>
          <w:tcPr>
            <w:tcW w:type="dxa" w:w="3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Análisis toxicológicos, forenses y ambientales</w:t>
            </w:r>
          </w:p>
        </w:tc>
        <w:tc>
          <w:tcPr>
            <w:tcW w:type="dxa" w:w="2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Laboratorios forenses, ambientales y agroindustriales</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Inspector sanitario</w:t>
            </w:r>
          </w:p>
        </w:tc>
        <w:tc>
          <w:tcPr>
            <w:tcW w:type="dxa" w:w="3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Inspección, control y vigilancia de productos farmacéuticos</w:t>
            </w:r>
          </w:p>
        </w:tc>
        <w:tc>
          <w:tcPr>
            <w:tcW w:type="dxa" w:w="2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DIGEMID, GERESA/DIREMID</w:t>
            </w:r>
          </w:p>
        </w:tc>
      </w:tr>
      <w:tr>
        <w:trPr>
          <w:cantSplit/>
        </w:trPr>
        <w:tc>
          <w:tcPr>
            <w:tcW w:type="dxa" w:w="2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Docencia e investigación</w:t>
            </w:r>
          </w:p>
        </w:tc>
        <w:tc>
          <w:tcPr>
            <w:tcW w:type="dxa" w:w="33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Docencia universitaria e investigación</w:t>
            </w:r>
          </w:p>
        </w:tc>
        <w:tc>
          <w:tcPr>
            <w:tcW w:type="dxa" w:w="2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Universidades y centros de investigación</w:t>
            </w:r>
          </w:p>
        </w:tc>
      </w:tr>
    </w:tbl>
    <w:p>
      <w:pPr>
        <w:spacing w:after="120"/>
      </w:pPr>
    </w:p>
    <w:p>
      <w:pPr>
        <w:keepNext/>
        <w:spacing w:after="60" w:before="160"/>
        <w:jc w:val="center"/>
      </w:pPr>
      <w:r>
        <w:rPr>
          <w:rFonts w:ascii="Calibri" w:cs="Calibri" w:eastAsia="Calibri" w:hAnsi="Calibri"/>
          <w:sz w:val="22"/>
          <w:szCs w:val="22"/>
        </w:rPr>
        <w:t xml:space="preserve">Actores estratégicos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000"/>
      </w:tblGrid>
      <w:tr>
        <w:trPr>
          <w:tblHeader/>
        </w:trPr>
        <w:tc>
          <w:tcPr>
            <w:tcW w:type="dxa" w:w="30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Tipo de actor</w:t>
            </w:r>
          </w:p>
        </w:tc>
        <w:tc>
          <w:tcPr>
            <w:tcW w:type="dxa" w:w="44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Actor clave</w:t>
            </w:r>
          </w:p>
        </w:tc>
        <w:tc>
          <w:tcPr>
            <w:tcW w:type="dxa" w:w="10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Nivel</w:t>
            </w:r>
          </w:p>
        </w:tc>
      </w:tr>
      <w:tr>
        <w:trPr>
          <w:cantSplit/>
        </w:trPr>
        <w:tc>
          <w:tcPr>
            <w:tcW w:type="dxa" w:w="3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Demandante</w:t>
            </w:r>
          </w:p>
        </w:tc>
        <w:tc>
          <w:tcPr>
            <w:tcW w:type="dxa" w:w="4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Farmacias, boticas, cadenas, droguerías, clínicas</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Alto</w:t>
            </w:r>
          </w:p>
        </w:tc>
      </w:tr>
      <w:tr>
        <w:trPr>
          <w:cantSplit/>
        </w:trPr>
        <w:tc>
          <w:tcPr>
            <w:tcW w:type="dxa" w:w="3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Tomador de decisión – Normativo</w:t>
            </w:r>
          </w:p>
        </w:tc>
        <w:tc>
          <w:tcPr>
            <w:tcW w:type="dxa" w:w="4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MINSA – DIGEMID</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Alto</w:t>
            </w:r>
          </w:p>
        </w:tc>
      </w:tr>
      <w:tr>
        <w:trPr>
          <w:cantSplit/>
        </w:trPr>
        <w:tc>
          <w:tcPr>
            <w:tcW w:type="dxa" w:w="3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Tomador de decisión – Regulador</w:t>
            </w:r>
          </w:p>
        </w:tc>
        <w:tc>
          <w:tcPr>
            <w:tcW w:type="dxa" w:w="4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SUNEDU; Ministerio de Educación</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Medio</w:t>
            </w:r>
          </w:p>
        </w:tc>
      </w:tr>
      <w:tr>
        <w:trPr>
          <w:cantSplit/>
        </w:trPr>
        <w:tc>
          <w:tcPr>
            <w:tcW w:type="dxa" w:w="3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Autoridad regional</w:t>
            </w:r>
          </w:p>
        </w:tc>
        <w:tc>
          <w:tcPr>
            <w:tcW w:type="dxa" w:w="4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GERESA Lambayeque (DIREMID)</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Alto</w:t>
            </w:r>
          </w:p>
        </w:tc>
      </w:tr>
      <w:tr>
        <w:trPr>
          <w:cantSplit/>
        </w:trPr>
        <w:tc>
          <w:tcPr>
            <w:tcW w:type="dxa" w:w="3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Prestador público</w:t>
            </w:r>
          </w:p>
        </w:tc>
        <w:tc>
          <w:tcPr>
            <w:tcW w:type="dxa" w:w="4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EsSalud – Red Asistencial Lambayeque</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Alto</w:t>
            </w:r>
          </w:p>
        </w:tc>
      </w:tr>
      <w:tr>
        <w:trPr>
          <w:cantSplit/>
        </w:trPr>
        <w:tc>
          <w:tcPr>
            <w:tcW w:type="dxa" w:w="3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Gremio profesional</w:t>
            </w:r>
          </w:p>
        </w:tc>
        <w:tc>
          <w:tcPr>
            <w:tcW w:type="dxa" w:w="4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Colegio Químico Farmacéutico de Lambayeque</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Medio</w:t>
            </w:r>
          </w:p>
        </w:tc>
      </w:tr>
      <w:tr>
        <w:trPr>
          <w:cantSplit/>
        </w:trPr>
        <w:tc>
          <w:tcPr>
            <w:tcW w:type="dxa" w:w="3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Organismo internacional</w:t>
            </w:r>
          </w:p>
        </w:tc>
        <w:tc>
          <w:tcPr>
            <w:tcW w:type="dxa" w:w="4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OPS/OMS</w:t>
            </w:r>
          </w:p>
        </w:tc>
        <w:tc>
          <w:tcPr>
            <w:tcW w:type="dxa" w:w="1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Bajo</w:t>
            </w:r>
          </w:p>
        </w:tc>
      </w:tr>
    </w:tbl>
    <w:p>
      <w:pPr>
        <w:spacing w:after="120"/>
      </w:pPr>
    </w:p>
    <w:p>
      <w:pPr>
        <w:spacing w:after="120" w:line="360"/>
        <w:jc w:val="both"/>
      </w:pPr>
      <w:r>
        <w:rPr>
          <w:rFonts w:ascii="Calibri" w:cs="Calibri" w:eastAsia="Calibri" w:hAnsi="Calibri"/>
          <w:sz w:val="24"/>
          <w:szCs w:val="24"/>
        </w:rPr>
        <w:t xml:space="preserve">A continuación se presentan las expectativas de los actores estratégicos respecto del perfil del Químico Farmacéutico que requiere la región.</w:t>
      </w:r>
    </w:p>
    <w:p>
      <w:pPr>
        <w:keepNext/>
        <w:spacing w:after="100" w:before="160" w:line="360"/>
        <w:jc w:val="both"/>
      </w:pPr>
      <w:r>
        <w:rPr>
          <w:rFonts w:ascii="Calibri" w:cs="Calibri" w:eastAsia="Calibri" w:hAnsi="Calibri"/>
          <w:b/>
          <w:bCs/>
          <w:sz w:val="24"/>
          <w:szCs w:val="24"/>
        </w:rPr>
        <w:t xml:space="preserve">7.7.1.- Demandantes de capital humano</w:t>
      </w:r>
    </w:p>
    <w:p>
      <w:pPr>
        <w:spacing w:after="120" w:line="360"/>
        <w:jc w:val="both"/>
      </w:pPr>
      <w:r>
        <w:rPr>
          <w:rFonts w:ascii="Calibri" w:cs="Calibri" w:eastAsia="Calibri" w:hAnsi="Calibri"/>
          <w:sz w:val="24"/>
          <w:szCs w:val="24"/>
        </w:rPr>
        <w:t xml:space="preserve">Las farmacias, boticas, cadenas, droguerías, clínicas, laboratorios clínicos y empresas agroindustriales de la región esperan que el profesional cuente con los siguientes conocimientos mínimos:</w:t>
      </w:r>
    </w:p>
    <w:p>
      <w:pPr>
        <w:pStyle w:val="ListParagraph"/>
        <w:numPr>
          <w:ilvl w:val="0"/>
          <w:numId w:val="2"/>
        </w:numPr>
        <w:spacing w:after="80" w:line="360"/>
        <w:jc w:val="both"/>
      </w:pPr>
      <w:r>
        <w:rPr>
          <w:rFonts w:ascii="Calibri" w:cs="Calibri" w:eastAsia="Calibri" w:hAnsi="Calibri"/>
          <w:sz w:val="24"/>
          <w:szCs w:val="24"/>
        </w:rPr>
        <w:t xml:space="preserve">Legislación farmacéutica y normativa sanitaria (Ley N.° 29459 y Reglamento de Establecimientos Farmacéuticos).</w:t>
      </w:r>
    </w:p>
    <w:p>
      <w:pPr>
        <w:pStyle w:val="ListParagraph"/>
        <w:numPr>
          <w:ilvl w:val="0"/>
          <w:numId w:val="2"/>
        </w:numPr>
        <w:spacing w:after="80" w:line="360"/>
        <w:jc w:val="both"/>
      </w:pPr>
      <w:r>
        <w:rPr>
          <w:rFonts w:ascii="Calibri" w:cs="Calibri" w:eastAsia="Calibri" w:hAnsi="Calibri"/>
          <w:sz w:val="24"/>
          <w:szCs w:val="24"/>
        </w:rPr>
        <w:t xml:space="preserve">Buenas Prácticas de Almacenamiento, Dispensación, Distribución y Farmacovigilancia.</w:t>
      </w:r>
    </w:p>
    <w:p>
      <w:pPr>
        <w:pStyle w:val="ListParagraph"/>
        <w:numPr>
          <w:ilvl w:val="0"/>
          <w:numId w:val="2"/>
        </w:numPr>
        <w:spacing w:after="80" w:line="360"/>
        <w:jc w:val="both"/>
      </w:pPr>
      <w:r>
        <w:rPr>
          <w:rFonts w:ascii="Calibri" w:cs="Calibri" w:eastAsia="Calibri" w:hAnsi="Calibri"/>
          <w:sz w:val="24"/>
          <w:szCs w:val="24"/>
        </w:rPr>
        <w:t xml:space="preserve">Gestión de inventarios, cadena de frío y control de productos vencidos o falsificados.</w:t>
      </w:r>
    </w:p>
    <w:p>
      <w:pPr>
        <w:pStyle w:val="ListParagraph"/>
        <w:numPr>
          <w:ilvl w:val="0"/>
          <w:numId w:val="2"/>
        </w:numPr>
        <w:spacing w:after="80" w:line="360"/>
        <w:jc w:val="both"/>
      </w:pPr>
      <w:r>
        <w:rPr>
          <w:rFonts w:ascii="Calibri" w:cs="Calibri" w:eastAsia="Calibri" w:hAnsi="Calibri"/>
          <w:sz w:val="24"/>
          <w:szCs w:val="24"/>
        </w:rPr>
        <w:t xml:space="preserve">Atención farmacéutica y seguimiento farmacoterapéutico.</w:t>
      </w:r>
    </w:p>
    <w:p>
      <w:pPr>
        <w:pStyle w:val="ListParagraph"/>
        <w:numPr>
          <w:ilvl w:val="0"/>
          <w:numId w:val="2"/>
        </w:numPr>
        <w:spacing w:after="80" w:line="360"/>
        <w:jc w:val="both"/>
      </w:pPr>
      <w:r>
        <w:rPr>
          <w:rFonts w:ascii="Calibri" w:cs="Calibri" w:eastAsia="Calibri" w:hAnsi="Calibri"/>
          <w:sz w:val="24"/>
          <w:szCs w:val="24"/>
        </w:rPr>
        <w:t xml:space="preserve">Análisis clínicos, bioquímicos y de control de calidad.</w:t>
      </w:r>
    </w:p>
    <w:p>
      <w:pPr>
        <w:pStyle w:val="ListParagraph"/>
        <w:numPr>
          <w:ilvl w:val="0"/>
          <w:numId w:val="2"/>
        </w:numPr>
        <w:spacing w:after="80" w:line="360"/>
        <w:jc w:val="both"/>
      </w:pPr>
      <w:r>
        <w:rPr>
          <w:rFonts w:ascii="Calibri" w:cs="Calibri" w:eastAsia="Calibri" w:hAnsi="Calibri"/>
          <w:sz w:val="24"/>
          <w:szCs w:val="24"/>
        </w:rPr>
        <w:t xml:space="preserve">Manejo de sistemas de información y tecnologías aplicadas a la gestión farmacéutica.</w:t>
      </w:r>
    </w:p>
    <w:p>
      <w:pPr>
        <w:spacing w:after="120" w:line="360"/>
        <w:jc w:val="both"/>
      </w:pPr>
      <w:r>
        <w:rPr>
          <w:rFonts w:ascii="Calibri" w:cs="Calibri" w:eastAsia="Calibri" w:hAnsi="Calibri"/>
          <w:sz w:val="24"/>
          <w:szCs w:val="24"/>
        </w:rPr>
        <w:t xml:space="preserve">Las habilidades blandas mínimas requeridas son:</w:t>
      </w:r>
    </w:p>
    <w:p>
      <w:pPr>
        <w:pStyle w:val="ListParagraph"/>
        <w:numPr>
          <w:ilvl w:val="0"/>
          <w:numId w:val="2"/>
        </w:numPr>
        <w:spacing w:after="80" w:line="360"/>
        <w:jc w:val="both"/>
      </w:pPr>
      <w:r>
        <w:rPr>
          <w:rFonts w:ascii="Calibri" w:cs="Calibri" w:eastAsia="Calibri" w:hAnsi="Calibri"/>
          <w:sz w:val="24"/>
          <w:szCs w:val="24"/>
        </w:rPr>
        <w:t xml:space="preserve">Ética y responsabilidad profesional</w:t>
      </w:r>
    </w:p>
    <w:p>
      <w:pPr>
        <w:pStyle w:val="ListParagraph"/>
        <w:numPr>
          <w:ilvl w:val="0"/>
          <w:numId w:val="2"/>
        </w:numPr>
        <w:spacing w:after="80" w:line="360"/>
        <w:jc w:val="both"/>
      </w:pPr>
      <w:r>
        <w:rPr>
          <w:rFonts w:ascii="Calibri" w:cs="Calibri" w:eastAsia="Calibri" w:hAnsi="Calibri"/>
          <w:sz w:val="24"/>
          <w:szCs w:val="24"/>
        </w:rPr>
        <w:t xml:space="preserve">Comunicación asertiva con pacientes y equipos de salud</w:t>
      </w:r>
    </w:p>
    <w:p>
      <w:pPr>
        <w:pStyle w:val="ListParagraph"/>
        <w:numPr>
          <w:ilvl w:val="0"/>
          <w:numId w:val="2"/>
        </w:numPr>
        <w:spacing w:after="80" w:line="360"/>
        <w:jc w:val="both"/>
      </w:pPr>
      <w:r>
        <w:rPr>
          <w:rFonts w:ascii="Calibri" w:cs="Calibri" w:eastAsia="Calibri" w:hAnsi="Calibri"/>
          <w:sz w:val="24"/>
          <w:szCs w:val="24"/>
        </w:rPr>
        <w:t xml:space="preserve">Toma de decisiones</w:t>
      </w:r>
    </w:p>
    <w:p>
      <w:pPr>
        <w:pStyle w:val="ListParagraph"/>
        <w:numPr>
          <w:ilvl w:val="0"/>
          <w:numId w:val="2"/>
        </w:numPr>
        <w:spacing w:after="80" w:line="360"/>
        <w:jc w:val="both"/>
      </w:pPr>
      <w:r>
        <w:rPr>
          <w:rFonts w:ascii="Calibri" w:cs="Calibri" w:eastAsia="Calibri" w:hAnsi="Calibri"/>
          <w:sz w:val="24"/>
          <w:szCs w:val="24"/>
        </w:rPr>
        <w:t xml:space="preserve">Pensamiento crítico</w:t>
      </w:r>
    </w:p>
    <w:p>
      <w:pPr>
        <w:pStyle w:val="ListParagraph"/>
        <w:numPr>
          <w:ilvl w:val="0"/>
          <w:numId w:val="2"/>
        </w:numPr>
        <w:spacing w:after="80" w:line="360"/>
        <w:jc w:val="both"/>
      </w:pPr>
      <w:r>
        <w:rPr>
          <w:rFonts w:ascii="Calibri" w:cs="Calibri" w:eastAsia="Calibri" w:hAnsi="Calibri"/>
          <w:sz w:val="24"/>
          <w:szCs w:val="24"/>
        </w:rPr>
        <w:t xml:space="preserve">Trabajo en equipo</w:t>
      </w:r>
    </w:p>
    <w:p>
      <w:pPr>
        <w:pStyle w:val="ListParagraph"/>
        <w:numPr>
          <w:ilvl w:val="0"/>
          <w:numId w:val="2"/>
        </w:numPr>
        <w:spacing w:after="80" w:line="360"/>
        <w:jc w:val="both"/>
      </w:pPr>
      <w:r>
        <w:rPr>
          <w:rFonts w:ascii="Calibri" w:cs="Calibri" w:eastAsia="Calibri" w:hAnsi="Calibri"/>
          <w:sz w:val="24"/>
          <w:szCs w:val="24"/>
        </w:rPr>
        <w:t xml:space="preserve">Orientación al servicio</w:t>
      </w:r>
    </w:p>
    <w:p>
      <w:pPr>
        <w:keepNext/>
        <w:spacing w:after="100" w:before="160" w:line="360"/>
        <w:jc w:val="both"/>
      </w:pPr>
      <w:r>
        <w:rPr>
          <w:rFonts w:ascii="Calibri" w:cs="Calibri" w:eastAsia="Calibri" w:hAnsi="Calibri"/>
          <w:b/>
          <w:bCs/>
          <w:sz w:val="24"/>
          <w:szCs w:val="24"/>
        </w:rPr>
        <w:t xml:space="preserve">7.7.2.- Ministerio de Salud (MINSA – DIGEMID) y GERESA Lambayeque</w:t>
      </w:r>
    </w:p>
    <w:p>
      <w:pPr>
        <w:pStyle w:val="ListParagraph"/>
        <w:numPr>
          <w:ilvl w:val="0"/>
          <w:numId w:val="2"/>
        </w:numPr>
        <w:spacing w:after="80" w:line="360"/>
        <w:jc w:val="both"/>
      </w:pPr>
      <w:r>
        <w:rPr>
          <w:rFonts w:ascii="Calibri" w:cs="Calibri" w:eastAsia="Calibri" w:hAnsi="Calibri"/>
          <w:sz w:val="24"/>
          <w:szCs w:val="24"/>
        </w:rPr>
        <w:t xml:space="preserve">Que garantice el acceso, la calidad, la seguridad y el uso racional de los medicamentos, en concordancia con la Política Nacional de Medicamentos.</w:t>
      </w:r>
    </w:p>
    <w:p>
      <w:pPr>
        <w:pStyle w:val="ListParagraph"/>
        <w:numPr>
          <w:ilvl w:val="0"/>
          <w:numId w:val="2"/>
        </w:numPr>
        <w:spacing w:after="80" w:line="360"/>
        <w:jc w:val="both"/>
      </w:pPr>
      <w:r>
        <w:rPr>
          <w:rFonts w:ascii="Calibri" w:cs="Calibri" w:eastAsia="Calibri" w:hAnsi="Calibri"/>
          <w:sz w:val="24"/>
          <w:szCs w:val="24"/>
        </w:rPr>
        <w:t xml:space="preserve">Que cumpla y haga cumplir la normativa sanitaria como director técnico de establecimientos farmacéuticos.</w:t>
      </w:r>
    </w:p>
    <w:p>
      <w:pPr>
        <w:pStyle w:val="ListParagraph"/>
        <w:numPr>
          <w:ilvl w:val="0"/>
          <w:numId w:val="2"/>
        </w:numPr>
        <w:spacing w:after="80" w:line="360"/>
        <w:jc w:val="both"/>
      </w:pPr>
      <w:r>
        <w:rPr>
          <w:rFonts w:ascii="Calibri" w:cs="Calibri" w:eastAsia="Calibri" w:hAnsi="Calibri"/>
          <w:sz w:val="24"/>
          <w:szCs w:val="24"/>
        </w:rPr>
        <w:t xml:space="preserve">Que contribuya a la vigilancia sanitaria y al combate del comercio ilegal de medicamentos (productos falsificados, de contrabando o sin registro sanitario).</w:t>
      </w:r>
    </w:p>
    <w:p>
      <w:pPr>
        <w:pStyle w:val="ListParagraph"/>
        <w:numPr>
          <w:ilvl w:val="0"/>
          <w:numId w:val="2"/>
        </w:numPr>
        <w:spacing w:after="80" w:line="360"/>
        <w:jc w:val="both"/>
      </w:pPr>
      <w:r>
        <w:rPr>
          <w:rFonts w:ascii="Calibri" w:cs="Calibri" w:eastAsia="Calibri" w:hAnsi="Calibri"/>
          <w:sz w:val="24"/>
          <w:szCs w:val="24"/>
        </w:rPr>
        <w:t xml:space="preserve">Que participe en la farmacovigilancia y tecnovigilancia, notificando reacciones adversas y alertas sanitarias.</w:t>
      </w:r>
    </w:p>
    <w:p>
      <w:pPr>
        <w:pStyle w:val="ListParagraph"/>
        <w:numPr>
          <w:ilvl w:val="0"/>
          <w:numId w:val="2"/>
        </w:numPr>
        <w:spacing w:after="80" w:line="360"/>
        <w:jc w:val="both"/>
      </w:pPr>
      <w:r>
        <w:rPr>
          <w:rFonts w:ascii="Calibri" w:cs="Calibri" w:eastAsia="Calibri" w:hAnsi="Calibri"/>
          <w:sz w:val="24"/>
          <w:szCs w:val="24"/>
        </w:rPr>
        <w:t xml:space="preserve">Que fortalezca la gestión del suministro de medicamentos en los establecimientos públicos (SISMED) y evite el desabastecimiento.</w:t>
      </w:r>
    </w:p>
    <w:p>
      <w:pPr>
        <w:pStyle w:val="ListParagraph"/>
        <w:numPr>
          <w:ilvl w:val="0"/>
          <w:numId w:val="2"/>
        </w:numPr>
        <w:spacing w:after="80" w:line="360"/>
        <w:jc w:val="both"/>
      </w:pPr>
      <w:r>
        <w:rPr>
          <w:rFonts w:ascii="Calibri" w:cs="Calibri" w:eastAsia="Calibri" w:hAnsi="Calibri"/>
          <w:sz w:val="24"/>
          <w:szCs w:val="24"/>
        </w:rPr>
        <w:t xml:space="preserve">Que realice su SERUMS y se integre a la atención primaria de salud, especialmente en las zonas con menor cobertura.</w:t>
      </w:r>
    </w:p>
    <w:p>
      <w:pPr>
        <w:keepNext/>
        <w:spacing w:after="100" w:before="160" w:line="360"/>
        <w:jc w:val="both"/>
      </w:pPr>
      <w:r>
        <w:rPr>
          <w:rFonts w:ascii="Calibri" w:cs="Calibri" w:eastAsia="Calibri" w:hAnsi="Calibri"/>
          <w:b/>
          <w:bCs/>
          <w:sz w:val="24"/>
          <w:szCs w:val="24"/>
        </w:rPr>
        <w:t xml:space="preserve">7.7.3.- Asociaciones empresariales y gremios</w:t>
      </w:r>
    </w:p>
    <w:p>
      <w:pPr>
        <w:spacing w:after="120" w:line="360"/>
        <w:jc w:val="both"/>
      </w:pPr>
      <w:r>
        <w:rPr>
          <w:rFonts w:ascii="Calibri" w:cs="Calibri" w:eastAsia="Calibri" w:hAnsi="Calibri"/>
          <w:sz w:val="24"/>
          <w:szCs w:val="24"/>
        </w:rPr>
        <w:t xml:space="preserve">Incluye a las asociaciones de boticas y cadenas farmacéuticas, droguerías, laboratorios y empresas agroindustriales, así como al Colegio Químico Farmacéutico Departamental de Lambayeque.</w:t>
      </w:r>
    </w:p>
    <w:p>
      <w:pPr>
        <w:pStyle w:val="ListParagraph"/>
        <w:numPr>
          <w:ilvl w:val="0"/>
          <w:numId w:val="2"/>
        </w:numPr>
        <w:spacing w:after="80" w:line="360"/>
        <w:jc w:val="both"/>
      </w:pPr>
      <w:r>
        <w:rPr>
          <w:rFonts w:ascii="Calibri" w:cs="Calibri" w:eastAsia="Calibri" w:hAnsi="Calibri"/>
          <w:sz w:val="24"/>
          <w:szCs w:val="24"/>
        </w:rPr>
        <w:t xml:space="preserve">Conocimiento sólido de la normativa sanitaria y empresarial aplicable al sector farmacéutico.</w:t>
      </w:r>
    </w:p>
    <w:p>
      <w:pPr>
        <w:pStyle w:val="ListParagraph"/>
        <w:numPr>
          <w:ilvl w:val="0"/>
          <w:numId w:val="2"/>
        </w:numPr>
        <w:spacing w:after="80" w:line="360"/>
        <w:jc w:val="both"/>
      </w:pPr>
      <w:r>
        <w:rPr>
          <w:rFonts w:ascii="Calibri" w:cs="Calibri" w:eastAsia="Calibri" w:hAnsi="Calibri"/>
          <w:sz w:val="24"/>
          <w:szCs w:val="24"/>
        </w:rPr>
        <w:t xml:space="preserve">Capacidad para gestionar establecimientos farmacéuticos de forma formal, rentable y sostenible.</w:t>
      </w:r>
    </w:p>
    <w:p>
      <w:pPr>
        <w:pStyle w:val="ListParagraph"/>
        <w:numPr>
          <w:ilvl w:val="0"/>
          <w:numId w:val="2"/>
        </w:numPr>
        <w:spacing w:after="80" w:line="360"/>
        <w:jc w:val="both"/>
      </w:pPr>
      <w:r>
        <w:rPr>
          <w:rFonts w:ascii="Calibri" w:cs="Calibri" w:eastAsia="Calibri" w:hAnsi="Calibri"/>
          <w:sz w:val="24"/>
          <w:szCs w:val="24"/>
        </w:rPr>
        <w:t xml:space="preserve">Habilidad para identificar oportunidades de emprendimiento (boticas, droguerías, laboratorios de productos naturales).</w:t>
      </w:r>
    </w:p>
    <w:p>
      <w:pPr>
        <w:pStyle w:val="ListParagraph"/>
        <w:numPr>
          <w:ilvl w:val="0"/>
          <w:numId w:val="2"/>
        </w:numPr>
        <w:spacing w:after="80" w:line="360"/>
        <w:jc w:val="both"/>
      </w:pPr>
      <w:r>
        <w:rPr>
          <w:rFonts w:ascii="Calibri" w:cs="Calibri" w:eastAsia="Calibri" w:hAnsi="Calibri"/>
          <w:sz w:val="24"/>
          <w:szCs w:val="24"/>
        </w:rPr>
        <w:t xml:space="preserve">Reconocimiento de la importancia de la formalización del comercio farmacéutico.</w:t>
      </w:r>
    </w:p>
    <w:p>
      <w:pPr>
        <w:pStyle w:val="ListParagraph"/>
        <w:numPr>
          <w:ilvl w:val="0"/>
          <w:numId w:val="2"/>
        </w:numPr>
        <w:spacing w:after="80" w:line="360"/>
        <w:jc w:val="both"/>
      </w:pPr>
      <w:r>
        <w:rPr>
          <w:rFonts w:ascii="Calibri" w:cs="Calibri" w:eastAsia="Calibri" w:hAnsi="Calibri"/>
          <w:sz w:val="24"/>
          <w:szCs w:val="24"/>
        </w:rPr>
        <w:t xml:space="preserve">Competencia en control de calidad e inocuidad para la industria alimentaria y agroexportadora.</w:t>
      </w:r>
    </w:p>
    <w:p>
      <w:pPr>
        <w:pStyle w:val="ListParagraph"/>
        <w:numPr>
          <w:ilvl w:val="0"/>
          <w:numId w:val="2"/>
        </w:numPr>
        <w:spacing w:after="80" w:line="360"/>
        <w:jc w:val="both"/>
      </w:pPr>
      <w:r>
        <w:rPr>
          <w:rFonts w:ascii="Calibri" w:cs="Calibri" w:eastAsia="Calibri" w:hAnsi="Calibri"/>
          <w:sz w:val="24"/>
          <w:szCs w:val="24"/>
        </w:rPr>
        <w:t xml:space="preserve">Adhesión a estándares éticos, responsabilidad ambiental y buenas prácticas en toda la cadena del medicamento.</w:t>
      </w:r>
    </w:p>
    <w:p>
      <w:pPr>
        <w:pStyle w:val="ListParagraph"/>
        <w:numPr>
          <w:ilvl w:val="0"/>
          <w:numId w:val="2"/>
        </w:numPr>
        <w:spacing w:after="80" w:line="360"/>
        <w:jc w:val="both"/>
      </w:pPr>
      <w:r>
        <w:rPr>
          <w:rFonts w:ascii="Calibri" w:cs="Calibri" w:eastAsia="Calibri" w:hAnsi="Calibri"/>
          <w:sz w:val="24"/>
          <w:szCs w:val="24"/>
        </w:rPr>
        <w:t xml:space="preserve">Actualización profesional continua y colegiatura habilitada para el ejercicio.</w:t>
      </w:r>
    </w:p>
    <w:p>
      <w:pPr>
        <w:keepNext/>
        <w:spacing w:after="100" w:before="160" w:line="360"/>
        <w:jc w:val="both"/>
      </w:pPr>
      <w:r>
        <w:rPr>
          <w:rFonts w:ascii="Calibri" w:cs="Calibri" w:eastAsia="Calibri" w:hAnsi="Calibri"/>
          <w:b/>
          <w:bCs/>
          <w:sz w:val="24"/>
          <w:szCs w:val="24"/>
        </w:rPr>
        <w:t xml:space="preserve">7.7.4.- Universidades</w:t>
      </w:r>
    </w:p>
    <w:p>
      <w:pPr>
        <w:pStyle w:val="ListParagraph"/>
        <w:numPr>
          <w:ilvl w:val="0"/>
          <w:numId w:val="2"/>
        </w:numPr>
        <w:spacing w:after="80" w:line="360"/>
        <w:jc w:val="both"/>
      </w:pPr>
      <w:r>
        <w:rPr>
          <w:rFonts w:ascii="Calibri" w:cs="Calibri" w:eastAsia="Calibri" w:hAnsi="Calibri"/>
          <w:sz w:val="24"/>
          <w:szCs w:val="24"/>
        </w:rPr>
        <w:t xml:space="preserve">Formación científica sólida en química, biología, bioquímica y farmacología, con énfasis en el trabajo de laboratorio.</w:t>
      </w:r>
    </w:p>
    <w:p>
      <w:pPr>
        <w:pStyle w:val="ListParagraph"/>
        <w:numPr>
          <w:ilvl w:val="0"/>
          <w:numId w:val="2"/>
        </w:numPr>
        <w:spacing w:after="80" w:line="360"/>
        <w:jc w:val="both"/>
      </w:pPr>
      <w:r>
        <w:rPr>
          <w:rFonts w:ascii="Calibri" w:cs="Calibri" w:eastAsia="Calibri" w:hAnsi="Calibri"/>
          <w:sz w:val="24"/>
          <w:szCs w:val="24"/>
        </w:rPr>
        <w:t xml:space="preserve">Capacidad para investigar y generar conocimiento en productos naturales, farmacología, bioquímica clínica y salud pública.</w:t>
      </w:r>
    </w:p>
    <w:p>
      <w:pPr>
        <w:pStyle w:val="ListParagraph"/>
        <w:numPr>
          <w:ilvl w:val="0"/>
          <w:numId w:val="2"/>
        </w:numPr>
        <w:spacing w:after="80" w:line="360"/>
        <w:jc w:val="both"/>
      </w:pPr>
      <w:r>
        <w:rPr>
          <w:rFonts w:ascii="Calibri" w:cs="Calibri" w:eastAsia="Calibri" w:hAnsi="Calibri"/>
          <w:sz w:val="24"/>
          <w:szCs w:val="24"/>
        </w:rPr>
        <w:t xml:space="preserve">Preparación para aprobar el Examen Nacional de Farmacia y Bioquímica (ENAFB) y desempeñar el SERUMS.</w:t>
      </w:r>
    </w:p>
    <w:p>
      <w:pPr>
        <w:pStyle w:val="ListParagraph"/>
        <w:numPr>
          <w:ilvl w:val="0"/>
          <w:numId w:val="2"/>
        </w:numPr>
        <w:spacing w:after="80" w:line="360"/>
        <w:jc w:val="both"/>
      </w:pPr>
      <w:r>
        <w:rPr>
          <w:rFonts w:ascii="Calibri" w:cs="Calibri" w:eastAsia="Calibri" w:hAnsi="Calibri"/>
          <w:sz w:val="24"/>
          <w:szCs w:val="24"/>
        </w:rPr>
        <w:t xml:space="preserve">Trabajo interdisciplinario con los programas de ciencias de la salud (Medicina, Enfermería, Tecnología Médica).</w:t>
      </w:r>
    </w:p>
    <w:p>
      <w:pPr>
        <w:pStyle w:val="ListParagraph"/>
        <w:numPr>
          <w:ilvl w:val="0"/>
          <w:numId w:val="2"/>
        </w:numPr>
        <w:spacing w:after="80" w:line="360"/>
        <w:jc w:val="both"/>
      </w:pPr>
      <w:r>
        <w:rPr>
          <w:rFonts w:ascii="Calibri" w:cs="Calibri" w:eastAsia="Calibri" w:hAnsi="Calibri"/>
          <w:sz w:val="24"/>
          <w:szCs w:val="24"/>
        </w:rPr>
        <w:t xml:space="preserve">Dominio de las tecnologías de la información y la comunicación en su desempeño profesional.</w:t>
      </w:r>
    </w:p>
    <w:p>
      <w:pPr>
        <w:pStyle w:val="ListParagraph"/>
        <w:numPr>
          <w:ilvl w:val="0"/>
          <w:numId w:val="2"/>
        </w:numPr>
        <w:spacing w:after="80" w:line="360"/>
        <w:jc w:val="both"/>
      </w:pPr>
      <w:r>
        <w:rPr>
          <w:rFonts w:ascii="Calibri" w:cs="Calibri" w:eastAsia="Calibri" w:hAnsi="Calibri"/>
          <w:sz w:val="24"/>
          <w:szCs w:val="24"/>
        </w:rPr>
        <w:t xml:space="preserve">Compromiso con la responsabilidad social universitaria y la educación sanitaria de la población.</w:t>
      </w:r>
    </w:p>
    <w:p>
      <w:pPr>
        <w:pStyle w:val="ListParagraph"/>
        <w:numPr>
          <w:ilvl w:val="0"/>
          <w:numId w:val="2"/>
        </w:numPr>
        <w:spacing w:after="80" w:line="360"/>
        <w:jc w:val="both"/>
      </w:pPr>
      <w:r>
        <w:rPr>
          <w:rFonts w:ascii="Calibri" w:cs="Calibri" w:eastAsia="Calibri" w:hAnsi="Calibri"/>
          <w:sz w:val="24"/>
          <w:szCs w:val="24"/>
        </w:rPr>
        <w:t xml:space="preserve">Disposición para la formación continua a nivel de especialización y posgrado.</w:t>
      </w:r>
    </w:p>
    <w:p>
      <w:pPr>
        <w:keepNext/>
        <w:spacing w:after="100" w:before="160" w:line="360"/>
        <w:jc w:val="both"/>
      </w:pPr>
      <w:r>
        <w:rPr>
          <w:rFonts w:ascii="Calibri" w:cs="Calibri" w:eastAsia="Calibri" w:hAnsi="Calibri"/>
          <w:b/>
          <w:bCs/>
          <w:sz w:val="24"/>
          <w:szCs w:val="24"/>
        </w:rPr>
        <w:t xml:space="preserve">7.7.5.- Organización Panamericana de la Salud / Organización Mundial de la Salud (OPS/OMS)</w:t>
      </w:r>
    </w:p>
    <w:p>
      <w:pPr>
        <w:pStyle w:val="ListParagraph"/>
        <w:numPr>
          <w:ilvl w:val="0"/>
          <w:numId w:val="2"/>
        </w:numPr>
        <w:spacing w:after="80" w:line="360"/>
        <w:jc w:val="both"/>
      </w:pPr>
      <w:r>
        <w:rPr>
          <w:rFonts w:ascii="Calibri" w:cs="Calibri" w:eastAsia="Calibri" w:hAnsi="Calibri"/>
          <w:sz w:val="24"/>
          <w:szCs w:val="24"/>
        </w:rPr>
        <w:t xml:space="preserve">Que promueva el uso racional de medicamentos y contribuya a contener la resistencia a los antimicrobianos.</w:t>
      </w:r>
    </w:p>
    <w:p>
      <w:pPr>
        <w:pStyle w:val="ListParagraph"/>
        <w:numPr>
          <w:ilvl w:val="0"/>
          <w:numId w:val="2"/>
        </w:numPr>
        <w:spacing w:after="80" w:line="360"/>
        <w:jc w:val="both"/>
      </w:pPr>
      <w:r>
        <w:rPr>
          <w:rFonts w:ascii="Calibri" w:cs="Calibri" w:eastAsia="Calibri" w:hAnsi="Calibri"/>
          <w:sz w:val="24"/>
          <w:szCs w:val="24"/>
        </w:rPr>
        <w:t xml:space="preserve">Que desarrolle servicios farmacéuticos basados en la atención primaria de salud, centrados en la persona, la familia y la comunidad.</w:t>
      </w:r>
    </w:p>
    <w:p>
      <w:pPr>
        <w:pStyle w:val="ListParagraph"/>
        <w:numPr>
          <w:ilvl w:val="0"/>
          <w:numId w:val="2"/>
        </w:numPr>
        <w:spacing w:after="80" w:line="360"/>
        <w:jc w:val="both"/>
      </w:pPr>
      <w:r>
        <w:rPr>
          <w:rFonts w:ascii="Calibri" w:cs="Calibri" w:eastAsia="Calibri" w:hAnsi="Calibri"/>
          <w:sz w:val="24"/>
          <w:szCs w:val="24"/>
        </w:rPr>
        <w:t xml:space="preserve">Que contribuya a garantizar el acceso a medicamentos esenciales seguros, eficaces y de calidad.</w:t>
      </w:r>
    </w:p>
    <w:p>
      <w:pPr>
        <w:pStyle w:val="ListParagraph"/>
        <w:numPr>
          <w:ilvl w:val="0"/>
          <w:numId w:val="2"/>
        </w:numPr>
        <w:spacing w:after="80" w:line="360"/>
        <w:jc w:val="both"/>
      </w:pPr>
      <w:r>
        <w:rPr>
          <w:rFonts w:ascii="Calibri" w:cs="Calibri" w:eastAsia="Calibri" w:hAnsi="Calibri"/>
          <w:sz w:val="24"/>
          <w:szCs w:val="24"/>
        </w:rPr>
        <w:t xml:space="preserve">Que participe en la farmacovigilancia y en la prevención de productos médicos de calidad subestándar y falsificados.</w:t>
      </w:r>
    </w:p>
    <w:p>
      <w:pPr>
        <w:pStyle w:val="ListParagraph"/>
        <w:numPr>
          <w:ilvl w:val="0"/>
          <w:numId w:val="2"/>
        </w:numPr>
        <w:spacing w:after="80" w:line="360"/>
        <w:jc w:val="both"/>
      </w:pPr>
      <w:r>
        <w:rPr>
          <w:rFonts w:ascii="Calibri" w:cs="Calibri" w:eastAsia="Calibri" w:hAnsi="Calibri"/>
          <w:sz w:val="24"/>
          <w:szCs w:val="24"/>
        </w:rPr>
        <w:t xml:space="preserve">Que se integre a los equipos multidisciplinarios de salud para el control de enfermedades crónicas y transmisibles.</w:t>
      </w:r>
    </w:p>
    <w:p>
      <w:pPr>
        <w:spacing w:after="120" w:line="360"/>
        <w:jc w:val="both"/>
      </w:pPr>
      <w:r>
        <w:rPr>
          <w:rFonts w:ascii="Calibri" w:cs="Calibri" w:eastAsia="Calibri" w:hAnsi="Calibri"/>
          <w:sz w:val="24"/>
          <w:szCs w:val="24"/>
        </w:rPr>
        <w:t xml:space="preserve">Como se puede observar, las expectativas de los actores estratégicos se alinean con la formación profesional que ofrecerá el programa de Farmacia y Bioquímica de la USS.</w:t>
      </w:r>
    </w:p>
    <w:p>
      <w:pPr>
        <w:keepNext/>
        <w:spacing w:after="120" w:before="200"/>
        <w:ind w:left="284"/>
      </w:pPr>
      <w:r>
        <w:rPr>
          <w:rFonts w:ascii="Calibri" w:cs="Calibri" w:eastAsia="Calibri" w:hAnsi="Calibri"/>
          <w:color w:val="323E4F"/>
          <w:sz w:val="26"/>
          <w:szCs w:val="26"/>
        </w:rPr>
        <w:t xml:space="preserve">7.8.- Certificaciones progresivas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700"/>
        <w:gridCol w:w="1700"/>
        <w:gridCol w:w="1100"/>
      </w:tblGrid>
      <w:tr>
        <w:trPr>
          <w:tblHeader/>
        </w:trPr>
        <w:tc>
          <w:tcPr>
            <w:tcW w:type="dxa" w:w="22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NOMBRE DE LA CERTIFICACIÓN</w:t>
            </w:r>
          </w:p>
        </w:tc>
        <w:tc>
          <w:tcPr>
            <w:tcW w:type="dxa" w:w="27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COMPETENCIAS DE LA CERTIFICACIÓN</w:t>
            </w:r>
          </w:p>
        </w:tc>
        <w:tc>
          <w:tcPr>
            <w:tcW w:type="dxa" w:w="7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CICLO</w:t>
            </w:r>
          </w:p>
        </w:tc>
        <w:tc>
          <w:tcPr>
            <w:tcW w:type="dxa" w:w="17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CURSO INTEGRADOR</w:t>
            </w:r>
          </w:p>
        </w:tc>
        <w:tc>
          <w:tcPr>
            <w:tcW w:type="dxa" w:w="11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PRODUCTO</w:t>
            </w:r>
          </w:p>
        </w:tc>
      </w:tr>
      <w:tr>
        <w:trPr>
          <w:cantSplit/>
        </w:trPr>
        <w:tc>
          <w:tcPr>
            <w:tcW w:type="dxa" w:w="2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1.ª Asistente de laboratorio de análisis químico</w:t>
            </w:r>
          </w:p>
        </w:tc>
        <w:tc>
          <w:tcPr>
            <w:tcW w:type="dxa" w:w="2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Ejecuta análisis químicos básicos con bioseguridad.</w:t>
            </w:r>
          </w:p>
        </w:tc>
        <w:tc>
          <w:tcPr>
            <w:tcW w:type="dxa" w:w="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IV</w:t>
            </w:r>
          </w:p>
        </w:tc>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Análisis químico</w:t>
            </w:r>
          </w:p>
        </w:tc>
        <w:tc>
          <w:tcPr>
            <w:tcW w:type="dxa" w:w="11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Proyecto</w:t>
            </w:r>
          </w:p>
        </w:tc>
      </w:tr>
      <w:tr>
        <w:trPr>
          <w:cantSplit/>
        </w:trPr>
        <w:tc>
          <w:tcPr>
            <w:tcW w:type="dxa" w:w="2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2.ª Asistente en dispensación y gestión de boticas</w:t>
            </w:r>
          </w:p>
        </w:tc>
        <w:tc>
          <w:tcPr>
            <w:tcW w:type="dxa" w:w="2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Apoya la dispensación y la gestión de inventarios según Buenas Prácticas.</w:t>
            </w:r>
          </w:p>
        </w:tc>
        <w:tc>
          <w:tcPr>
            <w:tcW w:type="dxa" w:w="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VI</w:t>
            </w:r>
          </w:p>
        </w:tc>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Legislación y gestión farmacéutica</w:t>
            </w:r>
          </w:p>
        </w:tc>
        <w:tc>
          <w:tcPr>
            <w:tcW w:type="dxa" w:w="11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Proyecto</w:t>
            </w:r>
          </w:p>
        </w:tc>
      </w:tr>
      <w:tr>
        <w:trPr>
          <w:cantSplit/>
        </w:trPr>
        <w:tc>
          <w:tcPr>
            <w:tcW w:type="dxa" w:w="2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3.ª Analista de control de calidad de medicamentos</w:t>
            </w:r>
          </w:p>
        </w:tc>
        <w:tc>
          <w:tcPr>
            <w:tcW w:type="dxa" w:w="2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Realiza el control de calidad de productos farmacéuticos.</w:t>
            </w:r>
          </w:p>
        </w:tc>
        <w:tc>
          <w:tcPr>
            <w:tcW w:type="dxa" w:w="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VIII</w:t>
            </w:r>
          </w:p>
        </w:tc>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Análisis de medicamentos</w:t>
            </w:r>
          </w:p>
        </w:tc>
        <w:tc>
          <w:tcPr>
            <w:tcW w:type="dxa" w:w="11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Proyecto</w:t>
            </w:r>
          </w:p>
        </w:tc>
      </w:tr>
    </w:tbl>
    <w:p>
      <w:pPr>
        <w:spacing w:after="160"/>
        <w:ind w:left="300"/>
      </w:pPr>
      <w:r>
        <w:rPr>
          <w:rFonts w:ascii="Arial" w:cs="Arial" w:eastAsia="Arial" w:hAnsi="Arial"/>
          <w:b/>
          <w:bCs/>
          <w:i/>
          <w:iCs/>
          <w:sz w:val="14"/>
          <w:szCs w:val="14"/>
        </w:rPr>
        <w:t xml:space="preserve">Base legal: Ley Universitaria N.° 30220, art. 40. Los créditos mínimos se definirán en el plan de estudios.</w:t>
      </w:r>
    </w:p>
    <w:p>
      <w:pPr>
        <w:keepNext/>
        <w:spacing w:after="160" w:before="240"/>
      </w:pPr>
      <w:r>
        <w:rPr>
          <w:rFonts w:ascii="Calibri" w:cs="Calibri" w:eastAsia="Calibri" w:hAnsi="Calibri"/>
          <w:color w:val="323E4F"/>
          <w:sz w:val="28"/>
          <w:szCs w:val="28"/>
        </w:rPr>
        <w:t xml:space="preserve">VIII.- CONCLUSIONES</w:t>
      </w:r>
    </w:p>
    <w:p>
      <w:pPr>
        <w:spacing w:after="120" w:line="360"/>
        <w:jc w:val="both"/>
      </w:pPr>
      <w:r>
        <w:rPr>
          <w:rFonts w:ascii="Calibri" w:cs="Calibri" w:eastAsia="Calibri" w:hAnsi="Calibri"/>
          <w:sz w:val="24"/>
          <w:szCs w:val="24"/>
        </w:rPr>
        <w:t xml:space="preserve">El presente informe técnico sustenta la pertinencia de crear el programa de estudios de Farmacia y Bioquímica en la región Lambayeque (Chiclayo). La exigencia legal de un Químico Farmacéutico en cada uno de los 1 580 establecimientos farmacéuticos privados de la región, frente a solo 812 profesionales colegiados (y cerca de 225 establecimientos nuevos por año), la expansión hospitalaria de EsSalud, la demanda de diagnóstico analítico y control agroindustrial, la carga de enfermedad regional y el comercio ilegal de medicamentos generan una demanda estructural de estos profesionales, mientras que la oferta licenciada en la región es muy reducida tras el cese de universidades no licenciadas de Chiclayo.</w:t>
      </w:r>
    </w:p>
    <w:p>
      <w:pPr>
        <w:spacing w:after="120" w:line="360"/>
        <w:jc w:val="both"/>
      </w:pPr>
      <w:r>
        <w:rPr>
          <w:rFonts w:ascii="Calibri" w:cs="Calibri" w:eastAsia="Calibri" w:hAnsi="Calibri"/>
          <w:sz w:val="24"/>
          <w:szCs w:val="24"/>
        </w:rPr>
        <w:t xml:space="preserve">Lambayeque presenta un entorno económico favorable: aporta el 2,7 % del PBI nacional, creció 5,2 % en 2024, cuenta con 79 085 MYPE (89 % en comercio y servicios) y una cartera de inversión superior a S/ 8 800 millones que incluye proyectos de salud. La USS cuenta con sede en la región, respaldo financiero y experiencia en ciencias de la salud.</w:t>
      </w:r>
    </w:p>
    <w:p>
      <w:pPr>
        <w:spacing w:after="120" w:line="360"/>
        <w:jc w:val="both"/>
      </w:pPr>
      <w:r>
        <w:rPr>
          <w:rFonts w:ascii="Calibri" w:cs="Calibri" w:eastAsia="Calibri" w:hAnsi="Calibri"/>
          <w:sz w:val="24"/>
          <w:szCs w:val="24"/>
        </w:rPr>
        <w:t xml:space="preserve">La estimación referencial de demanda muestra una brecha de entre 1 300 y 4 600 jóvenes por año según el escenario (Tablas 4 y 7). La viabilidad final depende de validar esa estimación con una encuesta propia de intención vocacional y de la confirmación de la inversión en laboratorios y de la plana docente </w:t>
      </w:r>
      <w:r>
        <w:rPr>
          <w:rFonts w:ascii="Calibri" w:cs="Calibri" w:eastAsia="Calibri" w:hAnsi="Calibri"/>
          <w:b/>
          <w:bCs/>
          <w:sz w:val="24"/>
          <w:szCs w:val="24"/>
          <w:shd w:fill="FFFF00" w:color="auto" w:val="clear"/>
        </w:rPr>
        <w:t xml:space="preserve">[DATO PENDIENTE]</w:t>
      </w:r>
      <w:r>
        <w:rPr>
          <w:rFonts w:ascii="Calibri" w:cs="Calibri" w:eastAsia="Calibri" w:hAnsi="Calibri"/>
          <w:sz w:val="24"/>
          <w:szCs w:val="24"/>
        </w:rPr>
        <w:t xml:space="preserve">.</w:t>
      </w:r>
    </w:p>
    <w:p>
      <w:pPr>
        <w:keepNext/>
        <w:spacing w:after="160" w:before="240"/>
      </w:pPr>
      <w:r>
        <w:rPr>
          <w:rFonts w:ascii="Calibri" w:cs="Calibri" w:eastAsia="Calibri" w:hAnsi="Calibri"/>
          <w:color w:val="323E4F"/>
          <w:sz w:val="28"/>
          <w:szCs w:val="28"/>
        </w:rPr>
        <w:t xml:space="preserve">ANEXO. ENCUESTA DE INTENCIÓN VOCACIONAL</w:t>
      </w:r>
    </w:p>
    <w:p>
      <w:pPr>
        <w:spacing w:after="120" w:line="360"/>
        <w:jc w:val="both"/>
      </w:pPr>
      <w:r>
        <w:rPr>
          <w:rFonts w:ascii="Calibri" w:cs="Calibri" w:eastAsia="Calibri" w:hAnsi="Calibri"/>
          <w:sz w:val="24"/>
          <w:szCs w:val="24"/>
        </w:rPr>
        <w:t xml:space="preserve">Para validar la demanda educativa se propone aplicar una encuesta a estudiantes de 4.° y 5.° de secundaria de la región (documento anexo: Encuesta_Intencion_Vocacional_Farmacia_Lambayeque.docx). Sus características principales son:</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rPr>
          <w:tblHeader/>
        </w:trPr>
        <w:tc>
          <w:tcPr>
            <w:tcW w:type="dxa" w:w="24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Elemento</w:t>
            </w:r>
          </w:p>
        </w:tc>
        <w:tc>
          <w:tcPr>
            <w:tcW w:type="dxa" w:w="6000"/>
            <w:tcBorders>
              <w:top w:val="single" w:color="000000" w:sz="4"/>
              <w:left w:val="single" w:color="000000" w:sz="4"/>
              <w:bottom w:val="single" w:color="000000" w:sz="4"/>
              <w:right w:val="single" w:color="000000" w:sz="4"/>
            </w:tcBorders>
            <w:shd w:fill="1F4E2C" w:color="auto" w:val="clear"/>
            <w:tcMar>
              <w:top w:type="dxa" w:w="20"/>
              <w:left w:type="dxa" w:w="60"/>
              <w:bottom w:type="dxa" w:w="20"/>
              <w:right w:type="dxa" w:w="60"/>
            </w:tcMar>
            <w:vAlign w:val="center"/>
          </w:tcPr>
          <w:p>
            <w:pPr>
              <w:jc w:val="center"/>
            </w:pPr>
            <w:r>
              <w:rPr>
                <w:rFonts w:ascii="Arial" w:cs="Arial" w:eastAsia="Arial" w:hAnsi="Arial"/>
                <w:b/>
                <w:bCs/>
                <w:color w:val="FFFFFF"/>
                <w:sz w:val="15"/>
                <w:szCs w:val="15"/>
              </w:rPr>
              <w:t xml:space="preserve">Descripción</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Muestra</w:t>
            </w:r>
          </w:p>
        </w:tc>
        <w:tc>
          <w:tcPr>
            <w:tcW w:type="dxa" w:w="6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384 estudiantes (95 % de confianza, ±5 % de error), más 10 % por no respuesta: 423 encuestas</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Distribución por provincia</w:t>
            </w:r>
          </w:p>
        </w:tc>
        <w:tc>
          <w:tcPr>
            <w:tcW w:type="dxa" w:w="6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Chiclayo 259, Lambayeque 97 y Ferreñafe 28 (proporcional a la población joven, Censo 2017)</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Contenido</w:t>
            </w:r>
          </w:p>
        </w:tc>
        <w:tc>
          <w:tcPr>
            <w:tcW w:type="dxa" w:w="6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17 preguntas: datos generales, planes después del colegio, carrera de interés, interés en Farmacia y Bioquímica, factores personales, de agencia y ambientales, y condiciones económicas</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Arial" w:cs="Arial" w:eastAsia="Arial" w:hAnsi="Arial"/>
                <w:b/>
                <w:bCs/>
                <w:color w:val="000000"/>
                <w:sz w:val="15"/>
                <w:szCs w:val="15"/>
              </w:rPr>
              <w:t xml:space="preserve">Indicador clave</w:t>
            </w:r>
          </w:p>
        </w:tc>
        <w:tc>
          <w:tcPr>
            <w:tcW w:type="dxa" w:w="60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Arial" w:cs="Arial" w:eastAsia="Arial" w:hAnsi="Arial"/>
                <w:b/>
                <w:bCs/>
                <w:color w:val="000000"/>
                <w:sz w:val="15"/>
                <w:szCs w:val="15"/>
              </w:rPr>
              <w:t xml:space="preserve">Tasa de interés efectivo = % "Definitivamente sí" + 0,5 × % "Probablemente sí" (pregunta 9), que se aplicará a la población objetivo de la Tabla 3</w:t>
            </w:r>
          </w:p>
        </w:tc>
      </w:tr>
    </w:tbl>
    <w:p>
      <w:pPr>
        <w:spacing w:after="120"/>
      </w:pPr>
    </w:p>
    <w:p>
      <w:pPr>
        <w:keepNext/>
        <w:spacing w:after="160" w:before="240"/>
      </w:pPr>
      <w:r>
        <w:rPr>
          <w:rFonts w:ascii="Calibri" w:cs="Calibri" w:eastAsia="Calibri" w:hAnsi="Calibri"/>
          <w:color w:val="323E4F"/>
          <w:sz w:val="28"/>
          <w:szCs w:val="28"/>
        </w:rPr>
        <w:t xml:space="preserve">REFERENCIAS</w:t>
      </w:r>
    </w:p>
    <w:p>
      <w:pPr>
        <w:pStyle w:val="ListParagraph"/>
        <w:numPr>
          <w:ilvl w:val="0"/>
          <w:numId w:val="2"/>
        </w:numPr>
        <w:spacing w:after="80" w:line="360"/>
        <w:jc w:val="both"/>
      </w:pPr>
      <w:r>
        <w:rPr>
          <w:rFonts w:ascii="Calibri" w:cs="Calibri" w:eastAsia="Calibri" w:hAnsi="Calibri"/>
          <w:sz w:val="24"/>
          <w:szCs w:val="24"/>
        </w:rPr>
        <w:t xml:space="preserve">BCRP – Sucursal Piura (2025). Caracterización del departamento de Lambayeque.</w:t>
      </w:r>
    </w:p>
    <w:p>
      <w:pPr>
        <w:pStyle w:val="ListParagraph"/>
        <w:numPr>
          <w:ilvl w:val="0"/>
          <w:numId w:val="2"/>
        </w:numPr>
        <w:spacing w:after="80" w:line="360"/>
        <w:jc w:val="both"/>
      </w:pPr>
      <w:r>
        <w:rPr>
          <w:rFonts w:ascii="Calibri" w:cs="Calibri" w:eastAsia="Calibri" w:hAnsi="Calibri"/>
          <w:sz w:val="24"/>
          <w:szCs w:val="24"/>
        </w:rPr>
        <w:t xml:space="preserve">BCRP – Sucursal Piura (2025). Lambayeque: Síntesis de Actividad Económica, enero 2025.</w:t>
      </w:r>
    </w:p>
    <w:p>
      <w:pPr>
        <w:pStyle w:val="ListParagraph"/>
        <w:numPr>
          <w:ilvl w:val="0"/>
          <w:numId w:val="2"/>
        </w:numPr>
        <w:spacing w:after="80" w:line="360"/>
        <w:jc w:val="both"/>
      </w:pPr>
      <w:r>
        <w:rPr>
          <w:rFonts w:ascii="Calibri" w:cs="Calibri" w:eastAsia="Calibri" w:hAnsi="Calibri"/>
          <w:sz w:val="24"/>
          <w:szCs w:val="24"/>
        </w:rPr>
        <w:t xml:space="preserve">DIGEMID – MINSA (2024). Boletín de Establecimientos Farmacéuticos, Año 5, Edición 8 (diciembre 2024).</w:t>
      </w:r>
    </w:p>
    <w:p>
      <w:pPr>
        <w:pStyle w:val="ListParagraph"/>
        <w:numPr>
          <w:ilvl w:val="0"/>
          <w:numId w:val="2"/>
        </w:numPr>
        <w:spacing w:after="80" w:line="360"/>
        <w:jc w:val="both"/>
      </w:pPr>
      <w:r>
        <w:rPr>
          <w:rFonts w:ascii="Calibri" w:cs="Calibri" w:eastAsia="Calibri" w:hAnsi="Calibri"/>
          <w:sz w:val="24"/>
          <w:szCs w:val="24"/>
        </w:rPr>
        <w:t xml:space="preserve">DIGEMID – MINSA (2026). Boletín de Establecimientos Farmacéuticos, Año 5, Edición 10 (diciembre 2025).</w:t>
      </w:r>
    </w:p>
    <w:p>
      <w:pPr>
        <w:pStyle w:val="ListParagraph"/>
        <w:numPr>
          <w:ilvl w:val="0"/>
          <w:numId w:val="2"/>
        </w:numPr>
        <w:spacing w:after="80" w:line="360"/>
        <w:jc w:val="both"/>
      </w:pPr>
      <w:r>
        <w:rPr>
          <w:rFonts w:ascii="Calibri" w:cs="Calibri" w:eastAsia="Calibri" w:hAnsi="Calibri"/>
          <w:sz w:val="24"/>
          <w:szCs w:val="24"/>
        </w:rPr>
        <w:t xml:space="preserve">PRODUCE – OGEIEE (2025). Diagnóstico Productivo Regional Lambayeque 2024.</w:t>
      </w:r>
    </w:p>
    <w:p>
      <w:pPr>
        <w:pStyle w:val="ListParagraph"/>
        <w:numPr>
          <w:ilvl w:val="0"/>
          <w:numId w:val="2"/>
        </w:numPr>
        <w:spacing w:after="80" w:line="360"/>
        <w:jc w:val="both"/>
      </w:pPr>
      <w:r>
        <w:rPr>
          <w:rFonts w:ascii="Calibri" w:cs="Calibri" w:eastAsia="Calibri" w:hAnsi="Calibri"/>
          <w:sz w:val="24"/>
          <w:szCs w:val="24"/>
        </w:rPr>
        <w:t xml:space="preserve">MTPE – GRTPE Lambayeque, OSEL (2024). Tríptico N° 02: Indicadores laborales en el departamento de Lambayeque.</w:t>
      </w:r>
    </w:p>
    <w:p>
      <w:pPr>
        <w:pStyle w:val="ListParagraph"/>
        <w:numPr>
          <w:ilvl w:val="0"/>
          <w:numId w:val="2"/>
        </w:numPr>
        <w:spacing w:after="80" w:line="360"/>
        <w:jc w:val="both"/>
      </w:pPr>
      <w:r>
        <w:rPr>
          <w:rFonts w:ascii="Calibri" w:cs="Calibri" w:eastAsia="Calibri" w:hAnsi="Calibri"/>
          <w:sz w:val="24"/>
          <w:szCs w:val="24"/>
        </w:rPr>
        <w:t xml:space="preserve">MTPE – DGPE (2024). Demanda de ocupaciones en Lambayeque 2024 (Encuesta de Demanda Ocupacional 2023).</w:t>
      </w:r>
    </w:p>
    <w:p>
      <w:pPr>
        <w:pStyle w:val="ListParagraph"/>
        <w:numPr>
          <w:ilvl w:val="0"/>
          <w:numId w:val="2"/>
        </w:numPr>
        <w:spacing w:after="80" w:line="360"/>
        <w:jc w:val="both"/>
      </w:pPr>
      <w:r>
        <w:rPr>
          <w:rFonts w:ascii="Calibri" w:cs="Calibri" w:eastAsia="Calibri" w:hAnsi="Calibri"/>
          <w:sz w:val="24"/>
          <w:szCs w:val="24"/>
        </w:rPr>
        <w:t xml:space="preserve">INEI (2025). Encuesta Demográfica y de Salud Familiar 2024 – Departamento de Lambayeque.</w:t>
      </w:r>
    </w:p>
    <w:p>
      <w:pPr>
        <w:pStyle w:val="ListParagraph"/>
        <w:numPr>
          <w:ilvl w:val="0"/>
          <w:numId w:val="2"/>
        </w:numPr>
        <w:spacing w:after="80" w:line="360"/>
        <w:jc w:val="both"/>
      </w:pPr>
      <w:r>
        <w:rPr>
          <w:rFonts w:ascii="Calibri" w:cs="Calibri" w:eastAsia="Calibri" w:hAnsi="Calibri"/>
          <w:sz w:val="24"/>
          <w:szCs w:val="24"/>
        </w:rPr>
        <w:t xml:space="preserve">INEI (2025). ENDES 2024 – Lambayeque: Enfermedades No Transmisibles y Transmisibles.</w:t>
      </w:r>
    </w:p>
    <w:p>
      <w:pPr>
        <w:pStyle w:val="ListParagraph"/>
        <w:numPr>
          <w:ilvl w:val="0"/>
          <w:numId w:val="2"/>
        </w:numPr>
        <w:spacing w:after="80" w:line="360"/>
        <w:jc w:val="both"/>
      </w:pPr>
      <w:r>
        <w:rPr>
          <w:rFonts w:ascii="Calibri" w:cs="Calibri" w:eastAsia="Calibri" w:hAnsi="Calibri"/>
          <w:sz w:val="24"/>
          <w:szCs w:val="24"/>
        </w:rPr>
        <w:t xml:space="preserve">UTP (2025). Postulantes, ingresantes, matriculados y egresados pregrado 2022-2025 (datos al 31.10.2025).</w:t>
      </w:r>
    </w:p>
    <w:p>
      <w:pPr>
        <w:pStyle w:val="ListParagraph"/>
        <w:numPr>
          <w:ilvl w:val="0"/>
          <w:numId w:val="2"/>
        </w:numPr>
        <w:spacing w:after="80" w:line="360"/>
        <w:jc w:val="both"/>
      </w:pPr>
      <w:r>
        <w:rPr>
          <w:rFonts w:ascii="Calibri" w:cs="Calibri" w:eastAsia="Calibri" w:hAnsi="Calibri"/>
          <w:sz w:val="24"/>
          <w:szCs w:val="24"/>
        </w:rPr>
        <w:t xml:space="preserve">DIGEMID – MINSA (2026). Boletín de Establecimientos Farmacéuticos, Año 6, Edición 11 (junio 2026).</w:t>
      </w:r>
    </w:p>
    <w:p>
      <w:pPr>
        <w:pStyle w:val="ListParagraph"/>
        <w:numPr>
          <w:ilvl w:val="0"/>
          <w:numId w:val="2"/>
        </w:numPr>
        <w:spacing w:after="80" w:line="360"/>
        <w:jc w:val="both"/>
      </w:pPr>
      <w:r>
        <w:rPr>
          <w:rFonts w:ascii="Calibri" w:cs="Calibri" w:eastAsia="Calibri" w:hAnsi="Calibri"/>
          <w:sz w:val="24"/>
          <w:szCs w:val="24"/>
        </w:rPr>
        <w:t xml:space="preserve">GRTPE Lambayeque – OSEL (2025). Estudio N° 01: Mercado laboral de los jóvenes en la región Lambayeque.</w:t>
      </w:r>
    </w:p>
    <w:p>
      <w:pPr>
        <w:pStyle w:val="ListParagraph"/>
        <w:numPr>
          <w:ilvl w:val="0"/>
          <w:numId w:val="2"/>
        </w:numPr>
        <w:spacing w:after="80" w:line="360"/>
        <w:jc w:val="both"/>
      </w:pPr>
      <w:r>
        <w:rPr>
          <w:rFonts w:ascii="Calibri" w:cs="Calibri" w:eastAsia="Calibri" w:hAnsi="Calibri"/>
          <w:sz w:val="24"/>
          <w:szCs w:val="24"/>
        </w:rPr>
        <w:t xml:space="preserve">MTPE (2025). Demanda de ocupaciones 2025 (Encuesta de Demanda Ocupacional 2024).</w:t>
      </w:r>
    </w:p>
    <w:p>
      <w:pPr>
        <w:pStyle w:val="ListParagraph"/>
        <w:numPr>
          <w:ilvl w:val="0"/>
          <w:numId w:val="2"/>
        </w:numPr>
        <w:spacing w:after="80" w:line="360"/>
        <w:jc w:val="both"/>
      </w:pPr>
      <w:r>
        <w:rPr>
          <w:rFonts w:ascii="Calibri" w:cs="Calibri" w:eastAsia="Calibri" w:hAnsi="Calibri"/>
          <w:sz w:val="24"/>
          <w:szCs w:val="24"/>
        </w:rPr>
        <w:t xml:space="preserve">MTPE. Portal Mi Carrera – Carreras más demandadas (Lambayeque, universidad). micarrera.trabajo.gob.pe.</w:t>
      </w:r>
    </w:p>
    <w:p>
      <w:pPr>
        <w:pStyle w:val="ListParagraph"/>
        <w:numPr>
          <w:ilvl w:val="0"/>
          <w:numId w:val="2"/>
        </w:numPr>
        <w:spacing w:after="80" w:line="360"/>
        <w:jc w:val="both"/>
      </w:pPr>
      <w:r>
        <w:rPr>
          <w:rFonts w:ascii="Calibri" w:cs="Calibri" w:eastAsia="Calibri" w:hAnsi="Calibri"/>
          <w:sz w:val="24"/>
          <w:szCs w:val="24"/>
        </w:rPr>
        <w:t xml:space="preserve">Colegio Químico Farmacéutico Departamental de Lambayeque. Memoria de Gestión, Consejo Directivo 2023-2024.</w:t>
      </w:r>
    </w:p>
    <w:p>
      <w:pPr>
        <w:pStyle w:val="ListParagraph"/>
        <w:numPr>
          <w:ilvl w:val="0"/>
          <w:numId w:val="2"/>
        </w:numPr>
        <w:spacing w:after="80" w:line="360"/>
        <w:jc w:val="both"/>
      </w:pPr>
      <w:r>
        <w:rPr>
          <w:rFonts w:ascii="Calibri" w:cs="Calibri" w:eastAsia="Calibri" w:hAnsi="Calibri"/>
          <w:sz w:val="24"/>
          <w:szCs w:val="24"/>
        </w:rPr>
        <w:t xml:space="preserve">INEI (2019). Perú: Indicadores de Educación por Departamentos, 2008-2018. Capítulo 5: Profesiones o carreras universitarias.</w:t>
      </w:r>
    </w:p>
    <w:p>
      <w:pPr>
        <w:pStyle w:val="ListParagraph"/>
        <w:numPr>
          <w:ilvl w:val="0"/>
          <w:numId w:val="2"/>
        </w:numPr>
        <w:spacing w:after="80" w:line="360"/>
        <w:jc w:val="both"/>
      </w:pPr>
      <w:r>
        <w:rPr>
          <w:rFonts w:ascii="Calibri" w:cs="Calibri" w:eastAsia="Calibri" w:hAnsi="Calibri"/>
          <w:sz w:val="24"/>
          <w:szCs w:val="24"/>
        </w:rPr>
        <w:t xml:space="preserve">Villalobos Véliz, L. del C., Hernández Fernández, B., et al. (2026). Orientación vocacional en escolares: diseño y validación de un instrumento diagnóstico. Areté, Revista Digital del Doctorado en Educación, 12(23).</w:t>
      </w:r>
    </w:p>
    <w:p>
      <w:pPr>
        <w:pStyle w:val="ListParagraph"/>
        <w:numPr>
          <w:ilvl w:val="0"/>
          <w:numId w:val="2"/>
        </w:numPr>
        <w:spacing w:after="80" w:line="360"/>
        <w:jc w:val="both"/>
      </w:pPr>
      <w:r>
        <w:rPr>
          <w:rFonts w:ascii="Calibri" w:cs="Calibri" w:eastAsia="Calibri" w:hAnsi="Calibri"/>
          <w:sz w:val="24"/>
          <w:szCs w:val="24"/>
        </w:rPr>
        <w:t xml:space="preserve">Gerencia Regional de Educación Lambayeque. Plataforma "Mi Carrera en tu Cole".</w:t>
      </w:r>
    </w:p>
    <w:p>
      <w:pPr>
        <w:pStyle w:val="ListParagraph"/>
        <w:numPr>
          <w:ilvl w:val="0"/>
          <w:numId w:val="2"/>
        </w:numPr>
        <w:spacing w:after="80" w:line="360"/>
        <w:jc w:val="both"/>
      </w:pPr>
      <w:r>
        <w:rPr>
          <w:rFonts w:ascii="Calibri" w:cs="Calibri" w:eastAsia="Calibri" w:hAnsi="Calibri"/>
          <w:sz w:val="24"/>
          <w:szCs w:val="24"/>
        </w:rPr>
        <w:t xml:space="preserve">INEI (2018). Resultados definitivos de los Censos Nacionales 2017 – Lambayeque.</w:t>
      </w:r>
    </w:p>
    <w:p>
      <w:pPr>
        <w:pStyle w:val="ListParagraph"/>
        <w:numPr>
          <w:ilvl w:val="0"/>
          <w:numId w:val="2"/>
        </w:numPr>
        <w:spacing w:after="80" w:line="360"/>
        <w:jc w:val="both"/>
      </w:pPr>
      <w:r>
        <w:rPr>
          <w:rFonts w:ascii="Calibri" w:cs="Calibri" w:eastAsia="Calibri" w:hAnsi="Calibri"/>
          <w:sz w:val="24"/>
          <w:szCs w:val="24"/>
        </w:rPr>
        <w:t xml:space="preserve">GERESA Lambayeque. Notas de prensa sobre operativos contra medicamentos falsificados.</w:t>
      </w:r>
    </w:p>
    <w:p>
      <w:pPr>
        <w:pStyle w:val="ListParagraph"/>
        <w:numPr>
          <w:ilvl w:val="0"/>
          <w:numId w:val="2"/>
        </w:numPr>
        <w:spacing w:after="80" w:line="360"/>
        <w:jc w:val="both"/>
      </w:pPr>
      <w:r>
        <w:rPr>
          <w:rFonts w:ascii="Calibri" w:cs="Calibri" w:eastAsia="Calibri" w:hAnsi="Calibri"/>
          <w:sz w:val="24"/>
          <w:szCs w:val="24"/>
        </w:rPr>
        <w:t xml:space="preserve">SUNEDU. Resoluciones de licenciamiento institucional (Universidad de Chiclayo, Universidad de Lambayeque, Universidad Juan Mejía Baca, UNPRG).</w:t>
      </w:r>
    </w:p>
    <w:p>
      <w:pPr>
        <w:pStyle w:val="ListParagraph"/>
        <w:numPr>
          <w:ilvl w:val="0"/>
          <w:numId w:val="2"/>
        </w:numPr>
        <w:spacing w:after="80" w:line="360"/>
        <w:jc w:val="both"/>
      </w:pPr>
      <w:r>
        <w:rPr>
          <w:rFonts w:ascii="Calibri" w:cs="Calibri" w:eastAsia="Calibri" w:hAnsi="Calibri"/>
          <w:sz w:val="24"/>
          <w:szCs w:val="24"/>
        </w:rPr>
        <w:t xml:space="preserve">EsSalud. Anuncios de construcción de hospitales en Lambayeque.</w:t>
      </w:r>
    </w:p>
    <w:p>
      <w:pPr>
        <w:pStyle w:val="ListParagraph"/>
        <w:numPr>
          <w:ilvl w:val="0"/>
          <w:numId w:val="2"/>
        </w:numPr>
        <w:spacing w:after="80" w:line="360"/>
        <w:jc w:val="both"/>
      </w:pPr>
      <w:r>
        <w:rPr>
          <w:rFonts w:ascii="Calibri" w:cs="Calibri" w:eastAsia="Calibri" w:hAnsi="Calibri"/>
          <w:sz w:val="24"/>
          <w:szCs w:val="24"/>
        </w:rPr>
        <w:t xml:space="preserve">Arellano Consultoría (2025). Dónde Quiero Estudiar (DQE) – Universidades Norte. arellano.pe/donde-quiero-estudiar.</w:t>
      </w:r>
    </w:p>
    <w:p>
      <w:pPr>
        <w:pStyle w:val="ListParagraph"/>
        <w:numPr>
          <w:ilvl w:val="0"/>
          <w:numId w:val="2"/>
        </w:numPr>
        <w:spacing w:after="80" w:line="360"/>
        <w:jc w:val="both"/>
      </w:pPr>
      <w:r>
        <w:rPr>
          <w:rFonts w:ascii="Calibri" w:cs="Calibri" w:eastAsia="Calibri" w:hAnsi="Calibri"/>
          <w:sz w:val="24"/>
          <w:szCs w:val="24"/>
        </w:rPr>
        <w:t xml:space="preserve">Gestión (2025). UTP y UCV se pelean alumnado en el norte: así ciudades se reparten las preferencias.</w:t>
      </w:r>
    </w:p>
    <w:p>
      <w:pPr>
        <w:pStyle w:val="ListParagraph"/>
        <w:numPr>
          <w:ilvl w:val="0"/>
          <w:numId w:val="2"/>
        </w:numPr>
        <w:spacing w:after="80" w:line="360"/>
        <w:jc w:val="both"/>
      </w:pPr>
      <w:r>
        <w:rPr>
          <w:rFonts w:ascii="Calibri" w:cs="Calibri" w:eastAsia="Calibri" w:hAnsi="Calibri"/>
          <w:sz w:val="24"/>
          <w:szCs w:val="24"/>
        </w:rPr>
        <w:t xml:space="preserve">APEIM (2025). Niveles Socioeconómicos 2025 – Síntesis e Informe completo (data ENAHO 2024). Lima, noviembre 2025.</w:t>
      </w:r>
    </w:p>
    <w:p>
      <w:pPr>
        <w:pStyle w:val="ListParagraph"/>
        <w:numPr>
          <w:ilvl w:val="0"/>
          <w:numId w:val="2"/>
        </w:numPr>
        <w:spacing w:after="80" w:line="360"/>
        <w:jc w:val="both"/>
      </w:pPr>
      <w:r>
        <w:rPr>
          <w:rFonts w:ascii="Calibri" w:cs="Calibri" w:eastAsia="Calibri" w:hAnsi="Calibri"/>
          <w:sz w:val="24"/>
          <w:szCs w:val="24"/>
        </w:rPr>
        <w:t xml:space="preserve">CPI Research (2025). Market Report N° 003: Proyecciones Poblacionales 2025 (Perú 2026).</w:t>
      </w:r>
    </w:p>
    <w:p>
      <w:pPr>
        <w:pStyle w:val="ListParagraph"/>
        <w:numPr>
          <w:ilvl w:val="0"/>
          <w:numId w:val="2"/>
        </w:numPr>
        <w:spacing w:after="80" w:line="360"/>
        <w:jc w:val="both"/>
      </w:pPr>
      <w:r>
        <w:rPr>
          <w:rFonts w:ascii="Calibri" w:cs="Calibri" w:eastAsia="Calibri" w:hAnsi="Calibri"/>
          <w:sz w:val="24"/>
          <w:szCs w:val="24"/>
        </w:rPr>
        <w:t xml:space="preserve">MTPE – DGPE (2024). Encuesta de Demanda Ocupacional 2024: Perú, puestos de trabajo a contratar para profesionales universitarios, según carreras, 2025.</w:t>
      </w:r>
    </w:p>
    <w:p>
      <w:pPr>
        <w:pStyle w:val="ListParagraph"/>
        <w:numPr>
          <w:ilvl w:val="0"/>
          <w:numId w:val="2"/>
        </w:numPr>
        <w:spacing w:after="80" w:line="360"/>
        <w:jc w:val="both"/>
      </w:pPr>
      <w:r>
        <w:rPr>
          <w:rFonts w:ascii="Calibri" w:cs="Calibri" w:eastAsia="Calibri" w:hAnsi="Calibri"/>
          <w:sz w:val="24"/>
          <w:szCs w:val="24"/>
        </w:rPr>
        <w:t xml:space="preserve">MTPE/MINEDU. Portal "Ponte en Carrera".</w:t>
      </w:r>
    </w:p>
    <w:p>
      <w:pPr>
        <w:pStyle w:val="ListParagraph"/>
        <w:numPr>
          <w:ilvl w:val="0"/>
          <w:numId w:val="2"/>
        </w:numPr>
        <w:spacing w:after="80" w:line="360"/>
        <w:jc w:val="both"/>
      </w:pPr>
      <w:r>
        <w:rPr>
          <w:rFonts w:ascii="Calibri" w:cs="Calibri" w:eastAsia="Calibri" w:hAnsi="Calibri"/>
          <w:sz w:val="24"/>
          <w:szCs w:val="24"/>
        </w:rPr>
        <w:t xml:space="preserve">MINSA (2004). Política Nacional de Medicamentos (R.M. N.° 1240-2004/MINSA).</w:t>
      </w:r>
    </w:p>
    <w:p>
      <w:pPr>
        <w:pStyle w:val="ListParagraph"/>
        <w:numPr>
          <w:ilvl w:val="0"/>
          <w:numId w:val="2"/>
        </w:numPr>
        <w:spacing w:after="80" w:line="360"/>
        <w:jc w:val="both"/>
      </w:pPr>
      <w:r>
        <w:rPr>
          <w:rFonts w:ascii="Calibri" w:cs="Calibri" w:eastAsia="Calibri" w:hAnsi="Calibri"/>
          <w:sz w:val="24"/>
          <w:szCs w:val="24"/>
        </w:rPr>
        <w:t xml:space="preserve">OPS/OMS (2013). Servicios farmacéuticos basados en la atención primaria de salud. Documento de posición de la OPS/OMS.</w:t>
      </w:r>
    </w:p>
    <w:p>
      <w:pPr>
        <w:pStyle w:val="ListParagraph"/>
        <w:numPr>
          <w:ilvl w:val="0"/>
          <w:numId w:val="2"/>
        </w:numPr>
        <w:spacing w:after="80" w:line="360"/>
        <w:jc w:val="both"/>
      </w:pPr>
      <w:r>
        <w:rPr>
          <w:rFonts w:ascii="Calibri" w:cs="Calibri" w:eastAsia="Calibri" w:hAnsi="Calibri"/>
          <w:sz w:val="24"/>
          <w:szCs w:val="24"/>
        </w:rPr>
        <w:t xml:space="preserve">Congreso de la República. Ley N.° 29459 – Ley de los Productos Farmacéuticos, Dispositivos Médicos y Productos Sanitarios; Ley N.° 30220 – Ley Universitaria.</w:t>
      </w:r>
    </w:p>
    <w:sectPr>
      <w:headerReference w:type="default" r:id="rId7"/>
      <w:pgSz w:w="11906" w:h="16838" w:orient="portrait"/>
      <w:pgMar w:top="2234" w:right="1701" w:bottom="1134" w:left="1701" w:header="7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020"/>
      <w:gridCol w:w="3150"/>
      <w:gridCol w:w="1000"/>
      <w:gridCol w:w="1334"/>
    </w:tblGrid>
    <w:tr>
      <w:trPr>
        <w:trHeight w:val="280" w:hRule="atLeast"/>
      </w:trPr>
      <w:tc>
        <w:tcPr>
          <w:tcW w:type="dxa" w:w="3020"/>
          <w:vMerge w:val="restart"/>
          <w:tcBorders>
            <w:top w:val="single" w:color="000000" w:sz="4"/>
            <w:left w:val="single" w:color="000000" w:sz="4"/>
            <w:bottom w:val="single" w:color="000000" w:sz="4"/>
            <w:right w:val="single" w:color="000000" w:sz="4"/>
          </w:tcBorders>
          <w:tcMar>
            <w:left w:type="dxa" w:w="60"/>
            <w:right w:type="dxa" w:w="60"/>
          </w:tcMar>
          <w:vAlign w:val="center"/>
        </w:tcPr>
        <w:p>
          <w:r>
            <w:drawing>
              <wp:inline distT="0" distB="0" distL="0" distR="0">
                <wp:extent cx="16954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95450" cy="419100"/>
                        </a:xfrm>
                        <a:prstGeom prst="rect">
                          <a:avLst/>
                        </a:prstGeom>
                      </pic:spPr>
                    </pic:pic>
                  </a:graphicData>
                </a:graphic>
              </wp:inline>
            </w:drawing>
          </w:r>
        </w:p>
      </w:tc>
      <w:tc>
        <w:tcPr>
          <w:tcW w:type="dxa" w:w="3150"/>
          <w:tcBorders>
            <w:top w:val="single" w:color="000000" w:sz="4"/>
            <w:left w:val="single" w:color="000000" w:sz="4"/>
            <w:bottom w:val="single" w:color="000000" w:sz="4"/>
            <w:right w:val="single" w:color="000000" w:sz="4"/>
          </w:tcBorders>
          <w:tcMar>
            <w:left w:type="dxa" w:w="60"/>
            <w:right w:type="dxa" w:w="60"/>
          </w:tcMar>
          <w:vAlign w:val="center"/>
        </w:tcPr>
        <w:p>
          <w:pPr>
            <w:jc w:val="center"/>
          </w:pPr>
          <w:r>
            <w:rPr>
              <w:rFonts w:ascii="Arial" w:cs="Arial" w:eastAsia="Arial" w:hAnsi="Arial"/>
              <w:b/>
              <w:bCs/>
              <w:color w:val="404040"/>
              <w:sz w:val="15"/>
              <w:szCs w:val="15"/>
            </w:rPr>
            <w:t xml:space="preserve">INFORME TÉCNICO</w:t>
          </w:r>
        </w:p>
      </w:tc>
      <w:tc>
        <w:tcPr>
          <w:tcW w:type="dxa" w:w="1000"/>
          <w:tcBorders>
            <w:top w:val="single" w:color="000000" w:sz="4"/>
            <w:left w:val="single" w:color="000000" w:sz="4"/>
            <w:bottom w:val="single" w:color="000000" w:sz="4"/>
            <w:right w:val="single" w:color="000000" w:sz="4"/>
          </w:tcBorders>
          <w:tcMar>
            <w:left w:type="dxa" w:w="60"/>
            <w:right w:type="dxa" w:w="60"/>
          </w:tcMar>
          <w:vAlign w:val="center"/>
        </w:tcPr>
        <w:p>
          <w:pPr>
            <w:jc w:val="left"/>
          </w:pPr>
          <w:r>
            <w:rPr>
              <w:rFonts w:ascii="Arial" w:cs="Arial" w:eastAsia="Arial" w:hAnsi="Arial"/>
              <w:b/>
              <w:bCs/>
              <w:color w:val="404040"/>
              <w:sz w:val="15"/>
              <w:szCs w:val="15"/>
            </w:rPr>
            <w:t xml:space="preserve">Fecha:</w:t>
          </w:r>
        </w:p>
      </w:tc>
      <w:tc>
        <w:tcPr>
          <w:tcW w:type="dxa" w:w="1334"/>
          <w:tcBorders>
            <w:top w:val="single" w:color="000000" w:sz="4"/>
            <w:left w:val="single" w:color="000000" w:sz="4"/>
            <w:bottom w:val="single" w:color="000000" w:sz="4"/>
            <w:right w:val="single" w:color="000000" w:sz="4"/>
          </w:tcBorders>
          <w:tcMar>
            <w:left w:type="dxa" w:w="60"/>
            <w:right w:type="dxa" w:w="60"/>
          </w:tcMar>
          <w:vAlign w:val="center"/>
        </w:tcPr>
        <w:p>
          <w:pPr>
            <w:jc w:val="left"/>
          </w:pPr>
          <w:r>
            <w:rPr>
              <w:rFonts w:ascii="Arial" w:cs="Arial" w:eastAsia="Arial" w:hAnsi="Arial"/>
              <w:b/>
              <w:bCs/>
              <w:color w:val="404040"/>
              <w:sz w:val="15"/>
              <w:szCs w:val="15"/>
            </w:rPr>
            <w:t xml:space="preserve">25/09/2026</w:t>
          </w:r>
        </w:p>
      </w:tc>
    </w:tr>
    <w:tr>
      <w:trPr>
        <w:trHeight w:val="280" w:hRule="atLeast"/>
      </w:trPr>
      <w:tc>
        <w:tcPr>
          <w:vMerge w:val="continue"/>
          <w:tcBorders>
            <w:top w:val="single" w:color="000000" w:sz="4"/>
            <w:left w:val="single" w:color="000000" w:sz="4"/>
            <w:bottom w:val="single" w:color="000000" w:sz="4"/>
            <w:right w:val="single" w:color="000000" w:sz="4"/>
          </w:tcBorders>
        </w:tcPr>
        <w:p/>
      </w:tc>
      <w:tc>
        <w:tcPr>
          <w:tcW w:type="dxa" w:w="3150"/>
          <w:vMerge w:val="restart"/>
          <w:tcBorders>
            <w:top w:val="single" w:color="000000" w:sz="4"/>
            <w:left w:val="single" w:color="000000" w:sz="4"/>
            <w:bottom w:val="single" w:color="000000" w:sz="4"/>
            <w:right w:val="single" w:color="000000" w:sz="4"/>
          </w:tcBorders>
          <w:tcMar>
            <w:left w:type="dxa" w:w="60"/>
            <w:right w:type="dxa" w:w="60"/>
          </w:tcMar>
          <w:vAlign w:val="center"/>
        </w:tcPr>
        <w:p>
          <w:pPr>
            <w:jc w:val="center"/>
          </w:pPr>
          <w:r>
            <w:rPr>
              <w:rFonts w:ascii="Arial" w:cs="Arial" w:eastAsia="Arial" w:hAnsi="Arial"/>
              <w:b/>
              <w:bCs/>
              <w:color w:val="404040"/>
              <w:sz w:val="15"/>
              <w:szCs w:val="15"/>
            </w:rPr>
            <w:t xml:space="preserve">PARA LA CREACIÓN DE</w:t>
          </w:r>
        </w:p>
        <w:p>
          <w:pPr>
            <w:jc w:val="center"/>
          </w:pPr>
          <w:r>
            <w:rPr>
              <w:rFonts w:ascii="Arial" w:cs="Arial" w:eastAsia="Arial" w:hAnsi="Arial"/>
              <w:b/>
              <w:bCs/>
              <w:color w:val="404040"/>
              <w:sz w:val="15"/>
              <w:szCs w:val="15"/>
            </w:rPr>
            <w:t xml:space="preserve">PROGRAMAS EN FILIALES</w:t>
          </w:r>
        </w:p>
      </w:tc>
      <w:tc>
        <w:tcPr>
          <w:tcW w:type="dxa" w:w="1000"/>
          <w:tcBorders>
            <w:top w:val="single" w:color="000000" w:sz="4"/>
            <w:left w:val="single" w:color="000000" w:sz="4"/>
            <w:bottom w:val="single" w:color="000000" w:sz="4"/>
            <w:right w:val="single" w:color="000000" w:sz="4"/>
          </w:tcBorders>
          <w:tcMar>
            <w:left w:type="dxa" w:w="60"/>
            <w:right w:type="dxa" w:w="60"/>
          </w:tcMar>
          <w:vAlign w:val="center"/>
        </w:tcPr>
        <w:p>
          <w:pPr>
            <w:jc w:val="left"/>
          </w:pPr>
          <w:r>
            <w:rPr>
              <w:rFonts w:ascii="Arial" w:cs="Arial" w:eastAsia="Arial" w:hAnsi="Arial"/>
              <w:b/>
              <w:bCs/>
              <w:color w:val="404040"/>
              <w:sz w:val="15"/>
              <w:szCs w:val="15"/>
            </w:rPr>
            <w:t xml:space="preserve">Versión:</w:t>
          </w:r>
        </w:p>
      </w:tc>
      <w:tc>
        <w:tcPr>
          <w:tcW w:type="dxa" w:w="1334"/>
          <w:tcBorders>
            <w:top w:val="single" w:color="000000" w:sz="4"/>
            <w:left w:val="single" w:color="000000" w:sz="4"/>
            <w:bottom w:val="single" w:color="000000" w:sz="4"/>
            <w:right w:val="single" w:color="000000" w:sz="4"/>
          </w:tcBorders>
          <w:tcMar>
            <w:left w:type="dxa" w:w="60"/>
            <w:right w:type="dxa" w:w="60"/>
          </w:tcMar>
          <w:vAlign w:val="center"/>
        </w:tcPr>
        <w:p>
          <w:pPr>
            <w:jc w:val="left"/>
          </w:pPr>
          <w:r>
            <w:rPr>
              <w:rFonts w:ascii="Arial" w:cs="Arial" w:eastAsia="Arial" w:hAnsi="Arial"/>
              <w:b/>
              <w:bCs/>
              <w:color w:val="404040"/>
              <w:sz w:val="15"/>
              <w:szCs w:val="15"/>
            </w:rPr>
            <w:t xml:space="preserve">00</w:t>
          </w:r>
        </w:p>
      </w:tc>
    </w:tr>
    <w:tr>
      <w:trPr>
        <w:trHeight w:val="280" w:hRule="atLeas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000"/>
          <w:tcBorders>
            <w:top w:val="single" w:color="000000" w:sz="4"/>
            <w:left w:val="single" w:color="000000" w:sz="4"/>
            <w:bottom w:val="single" w:color="000000" w:sz="4"/>
            <w:right w:val="single" w:color="000000" w:sz="4"/>
          </w:tcBorders>
          <w:tcMar>
            <w:left w:type="dxa" w:w="60"/>
            <w:right w:type="dxa" w:w="60"/>
          </w:tcMar>
          <w:vAlign w:val="center"/>
        </w:tcPr>
        <w:p>
          <w:pPr>
            <w:jc w:val="left"/>
          </w:pPr>
          <w:r>
            <w:rPr>
              <w:rFonts w:ascii="Arial" w:cs="Arial" w:eastAsia="Arial" w:hAnsi="Arial"/>
              <w:b/>
              <w:bCs/>
              <w:color w:val="404040"/>
              <w:sz w:val="15"/>
              <w:szCs w:val="15"/>
            </w:rPr>
            <w:t xml:space="preserve">Hoja:</w:t>
          </w:r>
        </w:p>
      </w:tc>
      <w:tc>
        <w:tcPr>
          <w:tcW w:type="dxa" w:w="1334"/>
          <w:tcBorders>
            <w:top w:val="single" w:color="000000" w:sz="4"/>
            <w:left w:val="single" w:color="000000" w:sz="4"/>
            <w:bottom w:val="single" w:color="000000" w:sz="4"/>
            <w:right w:val="single" w:color="000000" w:sz="4"/>
          </w:tcBorders>
          <w:tcMar>
            <w:left w:type="dxa" w:w="60"/>
            <w:right w:type="dxa" w:w="60"/>
          </w:tcMar>
          <w:vAlign w:val="center"/>
        </w:tcPr>
        <w:p>
          <w:r>
            <w:rPr>
              <w:rFonts w:ascii="Arial" w:cs="Arial" w:eastAsia="Arial" w:hAnsi="Arial"/>
              <w:color w:val="404040"/>
              <w:sz w:val="15"/>
              <w:szCs w:val="15"/>
            </w:rPr>
            <w:fldChar w:fldCharType="begin"/>
            <w:instrText xml:space="preserve">PAGE</w:instrText>
            <w:fldChar w:fldCharType="separate"/>
            <w:fldChar w:fldCharType="end"/>
          </w:r>
          <w:r>
            <w:rPr>
              <w:rFonts w:ascii="Arial" w:cs="Arial" w:eastAsia="Arial" w:hAnsi="Arial"/>
              <w:b/>
              <w:bCs/>
              <w:color w:val="404040"/>
              <w:sz w:val="15"/>
              <w:szCs w:val="15"/>
            </w:rPr>
            <w:t xml:space="preserve"> de </w:t>
          </w:r>
          <w:r>
            <w:rPr>
              <w:rFonts w:ascii="Arial" w:cs="Arial" w:eastAsia="Arial" w:hAnsi="Arial"/>
              <w:color w:val="404040"/>
              <w:sz w:val="15"/>
              <w:szCs w:val="15"/>
            </w:rPr>
            <w:fldChar w:fldCharType="begin"/>
            <w:instrText xml:space="preserve">NUMPAGES</w:instrText>
            <w:fldChar w:fldCharType="separate"/>
            <w:fldChar w:fldCharType="end"/>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09ccc0fd588e74bbf1e7da6e79da7940a34774d.png"/><Relationship Id="rId9" Type="http://schemas.openxmlformats.org/officeDocument/2006/relationships/image" Target="media/87f4aa3168ba45d564266685e7e02ccb2460ce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d919ee77f739828e601bb3cb6cae8a109f00e8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Pertinencia – Farmacia y Bioquímica – Lambayeque/Chiclayo</dc:title>
  <dc:creator>Programa Académico de Farmacia y Bioquímica</dc:creator>
  <cp:lastModifiedBy>Un-named</cp:lastModifiedBy>
  <cp:revision>1</cp:revision>
  <dcterms:created xsi:type="dcterms:W3CDTF">2026-09-27T00:38:59.934Z</dcterms:created>
  <dcterms:modified xsi:type="dcterms:W3CDTF">2026-09-27T00:38:59.934Z</dcterms:modified>
</cp:coreProperties>
</file>

<file path=docProps/custom.xml><?xml version="1.0" encoding="utf-8"?>
<Properties xmlns="http://schemas.openxmlformats.org/officeDocument/2006/custom-properties" xmlns:vt="http://schemas.openxmlformats.org/officeDocument/2006/docPropsVTypes"/>
</file>