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351FA" w14:textId="37A358A7" w:rsidR="00B76262" w:rsidRDefault="00B76262" w:rsidP="00B76262">
      <w:pPr>
        <w:spacing w:line="276" w:lineRule="auto"/>
        <w:ind w:left="360" w:hanging="360"/>
        <w:jc w:val="center"/>
        <w:rPr>
          <w:rFonts w:ascii="Times New Roman" w:hAnsi="Times New Roman" w:cs="Times New Roman"/>
          <w:b/>
          <w:bCs/>
          <w:sz w:val="24"/>
          <w:szCs w:val="24"/>
          <w:lang w:val="en-GB"/>
        </w:rPr>
      </w:pPr>
      <w:r w:rsidRPr="00B76262">
        <w:rPr>
          <w:rFonts w:ascii="Times New Roman" w:hAnsi="Times New Roman" w:cs="Times New Roman"/>
          <w:b/>
          <w:bCs/>
          <w:sz w:val="24"/>
          <w:szCs w:val="24"/>
          <w:lang w:val="en-GB"/>
        </w:rPr>
        <w:t>Foreign Direct Investment in a</w:t>
      </w:r>
      <w:r>
        <w:rPr>
          <w:rFonts w:ascii="Times New Roman" w:hAnsi="Times New Roman" w:cs="Times New Roman"/>
          <w:b/>
          <w:bCs/>
          <w:sz w:val="24"/>
          <w:szCs w:val="24"/>
          <w:lang w:val="en-GB"/>
        </w:rPr>
        <w:t xml:space="preserve"> Small Open Economy Developing Economy. </w:t>
      </w:r>
    </w:p>
    <w:p w14:paraId="52795757" w14:textId="73960966" w:rsidR="00B76262" w:rsidRDefault="00B76262" w:rsidP="00B76262">
      <w:pPr>
        <w:spacing w:line="276" w:lineRule="auto"/>
        <w:ind w:left="360" w:hanging="360"/>
        <w:jc w:val="right"/>
        <w:rPr>
          <w:rFonts w:ascii="Times New Roman" w:hAnsi="Times New Roman" w:cs="Times New Roman"/>
          <w:lang w:val="en-GB"/>
        </w:rPr>
      </w:pPr>
      <w:r w:rsidRPr="00B76262">
        <w:rPr>
          <w:rFonts w:ascii="Times New Roman" w:hAnsi="Times New Roman" w:cs="Times New Roman"/>
          <w:lang w:val="en-GB"/>
        </w:rPr>
        <w:t>Based on Godin &amp; Yilmaz (2020</w:t>
      </w:r>
      <w:r w:rsidR="00A71046">
        <w:rPr>
          <w:rFonts w:ascii="Times New Roman" w:hAnsi="Times New Roman" w:cs="Times New Roman"/>
          <w:lang w:val="en-GB"/>
        </w:rPr>
        <w:t>b</w:t>
      </w:r>
      <w:r w:rsidRPr="00B76262">
        <w:rPr>
          <w:rFonts w:ascii="Times New Roman" w:hAnsi="Times New Roman" w:cs="Times New Roman"/>
          <w:lang w:val="en-GB"/>
        </w:rPr>
        <w:t>).</w:t>
      </w:r>
    </w:p>
    <w:p w14:paraId="6FA98E91" w14:textId="77777777" w:rsidR="00705938" w:rsidRDefault="00705938" w:rsidP="00214198">
      <w:pPr>
        <w:jc w:val="both"/>
        <w:rPr>
          <w:rFonts w:ascii="Times New Roman" w:hAnsi="Times New Roman" w:cs="Times New Roman"/>
          <w:lang w:val="en-GB"/>
        </w:rPr>
      </w:pPr>
    </w:p>
    <w:p w14:paraId="79696896" w14:textId="76485D57" w:rsidR="00705938" w:rsidRPr="00705938" w:rsidRDefault="00C211EC" w:rsidP="0021419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05938" w:rsidRPr="006325FE">
        <w:rPr>
          <w:rFonts w:ascii="Times New Roman" w:hAnsi="Times New Roman" w:cs="Times New Roman"/>
          <w:sz w:val="24"/>
          <w:szCs w:val="24"/>
          <w:lang w:val="en-GB"/>
        </w:rPr>
        <w:t xml:space="preserve">According to </w:t>
      </w:r>
      <w:r w:rsidR="00705938" w:rsidRPr="006325FE">
        <w:rPr>
          <w:rFonts w:ascii="Times New Roman" w:hAnsi="Times New Roman" w:cs="Times New Roman"/>
          <w:i/>
          <w:iCs/>
          <w:sz w:val="24"/>
          <w:szCs w:val="24"/>
          <w:lang w:val="en-GB"/>
        </w:rPr>
        <w:t xml:space="preserve">Balance of Payments and International Investment Position Manual </w:t>
      </w:r>
      <w:r w:rsidR="00705938" w:rsidRPr="006325FE">
        <w:rPr>
          <w:rFonts w:ascii="Times New Roman" w:hAnsi="Times New Roman" w:cs="Times New Roman"/>
          <w:sz w:val="24"/>
          <w:szCs w:val="24"/>
          <w:lang w:val="en-GB"/>
        </w:rPr>
        <w:t xml:space="preserve">(IMF, </w:t>
      </w:r>
      <w:r w:rsidR="00A71046">
        <w:rPr>
          <w:rFonts w:ascii="Times New Roman" w:hAnsi="Times New Roman" w:cs="Times New Roman"/>
          <w:sz w:val="24"/>
          <w:szCs w:val="24"/>
          <w:lang w:val="en-GB"/>
        </w:rPr>
        <w:t>2009</w:t>
      </w:r>
      <w:r w:rsidR="00705938" w:rsidRPr="006325FE">
        <w:rPr>
          <w:rFonts w:ascii="Times New Roman" w:hAnsi="Times New Roman" w:cs="Times New Roman"/>
          <w:sz w:val="24"/>
          <w:szCs w:val="24"/>
          <w:lang w:val="en-GB"/>
        </w:rPr>
        <w:t>),</w:t>
      </w:r>
      <w:r w:rsidR="00705938" w:rsidRPr="006325FE">
        <w:rPr>
          <w:rFonts w:ascii="Times New Roman" w:hAnsi="Times New Roman" w:cs="Times New Roman"/>
          <w:i/>
          <w:iCs/>
          <w:sz w:val="24"/>
          <w:szCs w:val="24"/>
          <w:lang w:val="en-GB"/>
        </w:rPr>
        <w:t xml:space="preserve"> </w:t>
      </w:r>
      <w:r w:rsidR="00705938" w:rsidRPr="006325FE">
        <w:rPr>
          <w:rFonts w:ascii="Times New Roman" w:hAnsi="Times New Roman" w:cs="Times New Roman"/>
          <w:sz w:val="24"/>
          <w:szCs w:val="24"/>
          <w:lang w:val="en-GB"/>
        </w:rPr>
        <w:t xml:space="preserve">FDI is a type of cross-border investment where the foreign investor has control or a significant degree of influence on the management of an enterprise that is resident in another economy. This cross-border financing of enterprises is expressed in equities, investment in indirectly controlled enterprises, investment in fellow enterprises, debt, and reverse investment (IMF, </w:t>
      </w:r>
      <w:r w:rsidR="00A71046">
        <w:rPr>
          <w:rFonts w:ascii="Times New Roman" w:hAnsi="Times New Roman" w:cs="Times New Roman"/>
          <w:sz w:val="24"/>
          <w:szCs w:val="24"/>
          <w:lang w:val="en-GB"/>
        </w:rPr>
        <w:t>2009</w:t>
      </w:r>
      <w:r w:rsidR="00705938" w:rsidRPr="006325FE">
        <w:rPr>
          <w:rFonts w:ascii="Times New Roman" w:hAnsi="Times New Roman" w:cs="Times New Roman"/>
          <w:sz w:val="24"/>
          <w:szCs w:val="24"/>
          <w:lang w:val="en-GB"/>
        </w:rPr>
        <w:t>).</w:t>
      </w:r>
    </w:p>
    <w:p w14:paraId="14E9E902" w14:textId="5F880BF0" w:rsidR="00C211EC" w:rsidRDefault="00C211EC" w:rsidP="00214198">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14C18" w:rsidRPr="00705938">
        <w:rPr>
          <w:rFonts w:ascii="Times New Roman" w:hAnsi="Times New Roman" w:cs="Times New Roman"/>
          <w:sz w:val="24"/>
          <w:szCs w:val="24"/>
          <w:lang w:val="en-GB"/>
        </w:rPr>
        <w:t>In the context of developing economies like Colombia, it is important to analyse the FDI not only for its real effects in terms of economic growth, technology transfer and productivity enhancements,</w:t>
      </w:r>
      <w:r w:rsidR="00705938" w:rsidRPr="00705938">
        <w:rPr>
          <w:rFonts w:ascii="Times New Roman" w:hAnsi="Times New Roman" w:cs="Times New Roman"/>
          <w:sz w:val="24"/>
          <w:szCs w:val="24"/>
          <w:lang w:val="en-GB"/>
        </w:rPr>
        <w:t xml:space="preserve"> but also for its financial and balance of payments effects.</w:t>
      </w:r>
      <w:r w:rsidR="00705938">
        <w:rPr>
          <w:rFonts w:ascii="Times New Roman" w:hAnsi="Times New Roman" w:cs="Times New Roman"/>
          <w:sz w:val="24"/>
          <w:szCs w:val="24"/>
          <w:lang w:val="en-GB"/>
        </w:rPr>
        <w:t xml:space="preserve"> </w:t>
      </w:r>
      <w:r w:rsidR="00842421">
        <w:rPr>
          <w:rFonts w:ascii="Times New Roman" w:hAnsi="Times New Roman" w:cs="Times New Roman"/>
          <w:sz w:val="24"/>
          <w:szCs w:val="24"/>
          <w:lang w:val="en-GB"/>
        </w:rPr>
        <w:t xml:space="preserve">Regarding the first, although not necessarily all FDI becomes gross capital formation, its real </w:t>
      </w:r>
      <w:r w:rsidR="00707B5A">
        <w:rPr>
          <w:rFonts w:ascii="Times New Roman" w:hAnsi="Times New Roman" w:cs="Times New Roman"/>
          <w:sz w:val="24"/>
          <w:szCs w:val="24"/>
          <w:lang w:val="en-GB"/>
        </w:rPr>
        <w:t>implications</w:t>
      </w:r>
      <w:r w:rsidR="00842421">
        <w:rPr>
          <w:rFonts w:ascii="Times New Roman" w:hAnsi="Times New Roman" w:cs="Times New Roman"/>
          <w:sz w:val="24"/>
          <w:szCs w:val="24"/>
          <w:lang w:val="en-GB"/>
        </w:rPr>
        <w:t xml:space="preserve"> depends on the economic sectors where it is allocated because they differ in their linkages and technological complexity, in their capital</w:t>
      </w:r>
      <w:r>
        <w:rPr>
          <w:rFonts w:ascii="Times New Roman" w:hAnsi="Times New Roman" w:cs="Times New Roman"/>
          <w:sz w:val="24"/>
          <w:szCs w:val="24"/>
          <w:lang w:val="en-GB"/>
        </w:rPr>
        <w:t xml:space="preserve"> intensity and</w:t>
      </w:r>
      <w:r w:rsidR="00842421">
        <w:rPr>
          <w:rFonts w:ascii="Times New Roman" w:hAnsi="Times New Roman" w:cs="Times New Roman"/>
          <w:sz w:val="24"/>
          <w:szCs w:val="24"/>
          <w:lang w:val="en-GB"/>
        </w:rPr>
        <w:t xml:space="preserve"> high – skilled labour </w:t>
      </w:r>
      <w:r>
        <w:rPr>
          <w:rFonts w:ascii="Times New Roman" w:hAnsi="Times New Roman" w:cs="Times New Roman"/>
          <w:sz w:val="24"/>
          <w:szCs w:val="24"/>
          <w:lang w:val="en-GB"/>
        </w:rPr>
        <w:t>demand</w:t>
      </w:r>
      <w:r w:rsidR="00842421">
        <w:rPr>
          <w:rFonts w:ascii="Times New Roman" w:hAnsi="Times New Roman" w:cs="Times New Roman"/>
          <w:sz w:val="24"/>
          <w:szCs w:val="24"/>
          <w:lang w:val="en-GB"/>
        </w:rPr>
        <w:t xml:space="preserve">, and in the tradable or non – tradable </w:t>
      </w:r>
      <w:r>
        <w:rPr>
          <w:rFonts w:ascii="Times New Roman" w:hAnsi="Times New Roman" w:cs="Times New Roman"/>
          <w:sz w:val="24"/>
          <w:szCs w:val="24"/>
          <w:lang w:val="en-GB"/>
        </w:rPr>
        <w:t>classification of the good</w:t>
      </w:r>
      <w:r w:rsidR="00707B5A">
        <w:rPr>
          <w:rFonts w:ascii="Times New Roman" w:hAnsi="Times New Roman" w:cs="Times New Roman"/>
          <w:sz w:val="24"/>
          <w:szCs w:val="24"/>
          <w:lang w:val="en-GB"/>
        </w:rPr>
        <w:t>s or services</w:t>
      </w:r>
      <w:r>
        <w:rPr>
          <w:rFonts w:ascii="Times New Roman" w:hAnsi="Times New Roman" w:cs="Times New Roman"/>
          <w:sz w:val="24"/>
          <w:szCs w:val="24"/>
          <w:lang w:val="en-GB"/>
        </w:rPr>
        <w:t xml:space="preserve"> produced. </w:t>
      </w:r>
    </w:p>
    <w:p w14:paraId="5BCC1529" w14:textId="154F9F64" w:rsidR="00ED0AB6" w:rsidRDefault="007E1C95" w:rsidP="00214198">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FD111C">
        <w:rPr>
          <w:rFonts w:ascii="Times New Roman" w:hAnsi="Times New Roman" w:cs="Times New Roman"/>
          <w:sz w:val="24"/>
          <w:szCs w:val="24"/>
          <w:lang w:val="en-GB"/>
        </w:rPr>
        <w:t xml:space="preserve"> </w:t>
      </w:r>
      <w:r w:rsidR="00C211EC">
        <w:rPr>
          <w:rFonts w:ascii="Times New Roman" w:hAnsi="Times New Roman" w:cs="Times New Roman"/>
          <w:sz w:val="24"/>
          <w:szCs w:val="24"/>
          <w:lang w:val="en-GB"/>
        </w:rPr>
        <w:t xml:space="preserve">Secondly, despite the fact that FDI is an important source of financing </w:t>
      </w:r>
      <w:r w:rsidR="0052139C">
        <w:rPr>
          <w:rFonts w:ascii="Times New Roman" w:hAnsi="Times New Roman" w:cs="Times New Roman"/>
          <w:sz w:val="24"/>
          <w:szCs w:val="24"/>
          <w:lang w:val="en-GB"/>
        </w:rPr>
        <w:t xml:space="preserve">for the external deficit in developing economies, it has been emphasized on its </w:t>
      </w:r>
      <w:r w:rsidR="007804DC">
        <w:rPr>
          <w:rFonts w:ascii="Times New Roman" w:hAnsi="Times New Roman" w:cs="Times New Roman"/>
          <w:sz w:val="24"/>
          <w:szCs w:val="24"/>
          <w:lang w:val="en-GB"/>
        </w:rPr>
        <w:t>long-run</w:t>
      </w:r>
      <w:r w:rsidR="0052139C">
        <w:rPr>
          <w:rFonts w:ascii="Times New Roman" w:hAnsi="Times New Roman" w:cs="Times New Roman"/>
          <w:sz w:val="24"/>
          <w:szCs w:val="24"/>
          <w:lang w:val="en-GB"/>
        </w:rPr>
        <w:t xml:space="preserve"> pressures on the current account due to the deterioration in the </w:t>
      </w:r>
      <w:r w:rsidR="007804DC">
        <w:rPr>
          <w:rFonts w:ascii="Times New Roman" w:hAnsi="Times New Roman" w:cs="Times New Roman"/>
          <w:sz w:val="24"/>
          <w:szCs w:val="24"/>
          <w:lang w:val="en-GB"/>
        </w:rPr>
        <w:t xml:space="preserve">country’s </w:t>
      </w:r>
      <w:r w:rsidR="0052139C">
        <w:rPr>
          <w:rFonts w:ascii="Times New Roman" w:hAnsi="Times New Roman" w:cs="Times New Roman"/>
          <w:sz w:val="24"/>
          <w:szCs w:val="24"/>
          <w:lang w:val="en-GB"/>
        </w:rPr>
        <w:t>International Investment Position</w:t>
      </w:r>
      <w:r w:rsidR="00BA4ECF">
        <w:rPr>
          <w:rFonts w:ascii="Times New Roman" w:hAnsi="Times New Roman" w:cs="Times New Roman"/>
          <w:sz w:val="24"/>
          <w:szCs w:val="24"/>
          <w:lang w:val="en-GB"/>
        </w:rPr>
        <w:t xml:space="preserve"> and financial liabilities accumulation</w:t>
      </w:r>
      <w:r w:rsidR="0052139C">
        <w:rPr>
          <w:rFonts w:ascii="Times New Roman" w:hAnsi="Times New Roman" w:cs="Times New Roman"/>
          <w:sz w:val="24"/>
          <w:szCs w:val="24"/>
          <w:lang w:val="en-GB"/>
        </w:rPr>
        <w:t xml:space="preserve"> (Garavito, Iregui &amp; Ramirez, </w:t>
      </w:r>
      <w:r>
        <w:rPr>
          <w:rFonts w:ascii="Times New Roman" w:hAnsi="Times New Roman" w:cs="Times New Roman"/>
          <w:sz w:val="24"/>
          <w:szCs w:val="24"/>
          <w:lang w:val="en-GB"/>
        </w:rPr>
        <w:t>2014</w:t>
      </w:r>
      <w:r w:rsidR="0052139C">
        <w:rPr>
          <w:rFonts w:ascii="Times New Roman" w:hAnsi="Times New Roman" w:cs="Times New Roman"/>
          <w:sz w:val="24"/>
          <w:szCs w:val="24"/>
          <w:lang w:val="en-GB"/>
        </w:rPr>
        <w:t>)</w:t>
      </w:r>
      <w:r>
        <w:rPr>
          <w:rFonts w:ascii="Times New Roman" w:hAnsi="Times New Roman" w:cs="Times New Roman"/>
          <w:sz w:val="24"/>
          <w:szCs w:val="24"/>
          <w:lang w:val="en-GB"/>
        </w:rPr>
        <w:t xml:space="preserve">. Likewise, </w:t>
      </w:r>
      <w:r w:rsidR="00D5021F">
        <w:rPr>
          <w:rFonts w:ascii="Times New Roman" w:hAnsi="Times New Roman" w:cs="Times New Roman"/>
          <w:sz w:val="24"/>
          <w:szCs w:val="24"/>
          <w:lang w:val="en-GB"/>
        </w:rPr>
        <w:t>the FDI</w:t>
      </w:r>
      <w:r>
        <w:rPr>
          <w:rFonts w:ascii="Times New Roman" w:hAnsi="Times New Roman" w:cs="Times New Roman"/>
          <w:sz w:val="24"/>
          <w:szCs w:val="24"/>
          <w:lang w:val="en-GB"/>
        </w:rPr>
        <w:t xml:space="preserve"> procyclical</w:t>
      </w:r>
      <w:r w:rsidR="007804DC">
        <w:rPr>
          <w:rFonts w:ascii="Times New Roman" w:hAnsi="Times New Roman" w:cs="Times New Roman"/>
          <w:sz w:val="24"/>
          <w:szCs w:val="24"/>
          <w:lang w:val="en-GB"/>
        </w:rPr>
        <w:t xml:space="preserve"> and volatile character very closely linked to the </w:t>
      </w:r>
      <w:r w:rsidR="00BA4ECF">
        <w:rPr>
          <w:rFonts w:ascii="Times New Roman" w:hAnsi="Times New Roman" w:cs="Times New Roman"/>
          <w:sz w:val="24"/>
          <w:szCs w:val="24"/>
          <w:lang w:val="en-GB"/>
        </w:rPr>
        <w:t>natural resources booms</w:t>
      </w:r>
      <w:r w:rsidR="007804DC">
        <w:rPr>
          <w:rFonts w:ascii="Times New Roman" w:hAnsi="Times New Roman" w:cs="Times New Roman"/>
          <w:sz w:val="24"/>
          <w:szCs w:val="24"/>
          <w:lang w:val="en-GB"/>
        </w:rPr>
        <w:t xml:space="preserve"> </w:t>
      </w:r>
      <w:r w:rsidR="00ED0AB6">
        <w:rPr>
          <w:rFonts w:ascii="Times New Roman" w:hAnsi="Times New Roman" w:cs="Times New Roman"/>
          <w:sz w:val="24"/>
          <w:szCs w:val="24"/>
          <w:lang w:val="en-GB"/>
        </w:rPr>
        <w:t>and the global financial cycle</w:t>
      </w:r>
      <w:r w:rsidR="00D5021F">
        <w:rPr>
          <w:rFonts w:ascii="Times New Roman" w:hAnsi="Times New Roman" w:cs="Times New Roman"/>
          <w:sz w:val="24"/>
          <w:szCs w:val="24"/>
          <w:lang w:val="en-GB"/>
        </w:rPr>
        <w:t xml:space="preserve">, </w:t>
      </w:r>
      <w:r>
        <w:rPr>
          <w:rFonts w:ascii="Times New Roman" w:hAnsi="Times New Roman" w:cs="Times New Roman"/>
          <w:sz w:val="24"/>
          <w:szCs w:val="24"/>
          <w:lang w:val="en-GB"/>
        </w:rPr>
        <w:t>has</w:t>
      </w:r>
      <w:r w:rsidR="00FD111C">
        <w:rPr>
          <w:rFonts w:ascii="Times New Roman" w:hAnsi="Times New Roman" w:cs="Times New Roman"/>
          <w:sz w:val="24"/>
          <w:szCs w:val="24"/>
          <w:lang w:val="en-GB"/>
        </w:rPr>
        <w:t xml:space="preserve"> </w:t>
      </w:r>
      <w:r w:rsidR="00D5021F">
        <w:rPr>
          <w:rFonts w:ascii="Times New Roman" w:hAnsi="Times New Roman" w:cs="Times New Roman"/>
          <w:sz w:val="24"/>
          <w:szCs w:val="24"/>
          <w:lang w:val="en-GB"/>
        </w:rPr>
        <w:t xml:space="preserve">effects on the trade balance through domestic currency appreciation </w:t>
      </w:r>
      <w:r w:rsidR="00BA4ECF">
        <w:rPr>
          <w:rFonts w:ascii="Times New Roman" w:hAnsi="Times New Roman" w:cs="Times New Roman"/>
          <w:sz w:val="24"/>
          <w:szCs w:val="24"/>
          <w:lang w:val="en-GB"/>
        </w:rPr>
        <w:t xml:space="preserve">(Botta, </w:t>
      </w:r>
      <w:r w:rsidR="00FD111C">
        <w:rPr>
          <w:rFonts w:ascii="Times New Roman" w:hAnsi="Times New Roman" w:cs="Times New Roman"/>
          <w:sz w:val="24"/>
          <w:szCs w:val="24"/>
          <w:lang w:val="en-GB"/>
        </w:rPr>
        <w:t>Missaglia</w:t>
      </w:r>
      <w:r w:rsidR="00BA4ECF">
        <w:rPr>
          <w:rFonts w:ascii="Times New Roman" w:hAnsi="Times New Roman" w:cs="Times New Roman"/>
          <w:sz w:val="24"/>
          <w:szCs w:val="24"/>
          <w:lang w:val="en-GB"/>
        </w:rPr>
        <w:t xml:space="preserve"> &amp; Godin</w:t>
      </w:r>
      <w:r>
        <w:rPr>
          <w:rFonts w:ascii="Times New Roman" w:hAnsi="Times New Roman" w:cs="Times New Roman"/>
          <w:sz w:val="24"/>
          <w:szCs w:val="24"/>
          <w:lang w:val="en-GB"/>
        </w:rPr>
        <w:t>, 2016</w:t>
      </w:r>
      <w:r w:rsidR="00BA4ECF">
        <w:rPr>
          <w:rFonts w:ascii="Times New Roman" w:hAnsi="Times New Roman" w:cs="Times New Roman"/>
          <w:sz w:val="24"/>
          <w:szCs w:val="24"/>
          <w:lang w:val="en-GB"/>
        </w:rPr>
        <w:t>)</w:t>
      </w:r>
      <w:r w:rsidR="00ED0AB6">
        <w:rPr>
          <w:rFonts w:ascii="Times New Roman" w:hAnsi="Times New Roman" w:cs="Times New Roman"/>
          <w:sz w:val="24"/>
          <w:szCs w:val="24"/>
          <w:lang w:val="en-GB"/>
        </w:rPr>
        <w:t>. Added to the fact that FDI generally triggers other capital inflows such as portfolio investment</w:t>
      </w:r>
      <w:r w:rsidR="00FD111C">
        <w:rPr>
          <w:rFonts w:ascii="Times New Roman" w:hAnsi="Times New Roman" w:cs="Times New Roman"/>
          <w:sz w:val="24"/>
          <w:szCs w:val="24"/>
          <w:lang w:val="en-GB"/>
        </w:rPr>
        <w:t xml:space="preserve"> that can induce a greater macroeconomic vulnerability and financial instability, </w:t>
      </w:r>
      <w:r w:rsidR="00ED0AB6">
        <w:rPr>
          <w:rFonts w:ascii="Times New Roman" w:hAnsi="Times New Roman" w:cs="Times New Roman"/>
          <w:sz w:val="24"/>
          <w:szCs w:val="24"/>
          <w:lang w:val="en-GB"/>
        </w:rPr>
        <w:t xml:space="preserve">in contexts with </w:t>
      </w:r>
      <w:r w:rsidR="00FD111C">
        <w:rPr>
          <w:rFonts w:ascii="Times New Roman" w:hAnsi="Times New Roman" w:cs="Times New Roman"/>
          <w:sz w:val="24"/>
          <w:szCs w:val="24"/>
          <w:lang w:val="en-GB"/>
        </w:rPr>
        <w:t xml:space="preserve">high international liquidity and financial account deregulation (Pedrosa &amp; Biancarelli, 2015). </w:t>
      </w:r>
    </w:p>
    <w:p w14:paraId="519B11F1" w14:textId="54F4F88C" w:rsidR="00612738" w:rsidRDefault="00FD111C" w:rsidP="00214198">
      <w:pPr>
        <w:spacing w:line="276" w:lineRule="auto"/>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    </w:t>
      </w:r>
      <w:r w:rsidR="00214198">
        <w:rPr>
          <w:rFonts w:ascii="Times New Roman" w:hAnsi="Times New Roman" w:cs="Times New Roman"/>
          <w:sz w:val="24"/>
          <w:szCs w:val="24"/>
          <w:lang w:val="en-GB"/>
        </w:rPr>
        <w:t xml:space="preserve">In consequence, FDI is introduced into the </w:t>
      </w:r>
      <w:r w:rsidR="00214198">
        <w:rPr>
          <w:rFonts w:ascii="Times New Roman" w:hAnsi="Times New Roman" w:cs="Times New Roman"/>
          <w:i/>
          <w:iCs/>
          <w:sz w:val="24"/>
          <w:szCs w:val="24"/>
          <w:lang w:val="en-GB"/>
        </w:rPr>
        <w:t>Colombian s</w:t>
      </w:r>
      <w:r w:rsidR="00214198" w:rsidRPr="00214198">
        <w:rPr>
          <w:rFonts w:ascii="Times New Roman" w:hAnsi="Times New Roman" w:cs="Times New Roman"/>
          <w:i/>
          <w:iCs/>
          <w:sz w:val="24"/>
          <w:szCs w:val="24"/>
          <w:lang w:val="en-GB"/>
        </w:rPr>
        <w:t>mall open economy model</w:t>
      </w:r>
      <w:r w:rsidR="00214198">
        <w:rPr>
          <w:rFonts w:ascii="Times New Roman" w:hAnsi="Times New Roman" w:cs="Times New Roman"/>
          <w:sz w:val="24"/>
          <w:szCs w:val="24"/>
          <w:lang w:val="en-GB"/>
        </w:rPr>
        <w:t xml:space="preserve"> to capture some of the dynamics above mentioned through the SFC modelling methodology</w:t>
      </w:r>
      <w:r w:rsidR="00612738">
        <w:rPr>
          <w:rFonts w:ascii="Times New Roman" w:hAnsi="Times New Roman" w:cs="Times New Roman"/>
          <w:sz w:val="24"/>
          <w:szCs w:val="24"/>
          <w:lang w:val="en-GB"/>
        </w:rPr>
        <w:t xml:space="preserve"> in continuous time</w:t>
      </w:r>
      <w:r w:rsidR="00214198">
        <w:rPr>
          <w:rFonts w:ascii="Times New Roman" w:hAnsi="Times New Roman" w:cs="Times New Roman"/>
          <w:sz w:val="24"/>
          <w:szCs w:val="24"/>
          <w:lang w:val="en-GB"/>
        </w:rPr>
        <w:t>.</w:t>
      </w:r>
      <w:r w:rsidR="00BB76CE">
        <w:rPr>
          <w:rFonts w:ascii="Times New Roman" w:hAnsi="Times New Roman" w:cs="Times New Roman"/>
          <w:sz w:val="24"/>
          <w:szCs w:val="24"/>
          <w:lang w:val="en-GB"/>
        </w:rPr>
        <w:t xml:space="preserve"> In</w:t>
      </w:r>
      <w:r w:rsidR="00612738">
        <w:rPr>
          <w:rFonts w:ascii="Times New Roman" w:hAnsi="Times New Roman" w:cs="Times New Roman"/>
          <w:sz w:val="24"/>
          <w:szCs w:val="24"/>
          <w:lang w:val="en-GB"/>
        </w:rPr>
        <w:t xml:space="preserve"> the model, </w:t>
      </w:r>
      <w:r w:rsidR="00214198">
        <w:rPr>
          <w:rFonts w:ascii="Times New Roman" w:hAnsi="Times New Roman" w:cs="Times New Roman"/>
          <w:sz w:val="24"/>
          <w:szCs w:val="24"/>
          <w:lang w:val="en-GB"/>
        </w:rPr>
        <w:t>FDI is divided into a greenfield FDI (</w:t>
      </w:r>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oMath>
      <w:r w:rsidR="00214198" w:rsidRPr="00214198">
        <w:rPr>
          <w:rFonts w:ascii="Times New Roman" w:eastAsiaTheme="minorEastAsia" w:hAnsi="Times New Roman" w:cs="Times New Roman"/>
          <w:sz w:val="24"/>
          <w:szCs w:val="24"/>
          <w:lang w:val="en-GB"/>
        </w:rPr>
        <w:t>)</w:t>
      </w:r>
      <w:r w:rsidR="00214198">
        <w:rPr>
          <w:rFonts w:ascii="Times New Roman" w:eastAsiaTheme="minorEastAsia" w:hAnsi="Times New Roman" w:cs="Times New Roman"/>
          <w:sz w:val="24"/>
          <w:szCs w:val="24"/>
          <w:lang w:val="en-GB"/>
        </w:rPr>
        <w:t xml:space="preserve"> and non-greenfield</w:t>
      </w:r>
      <w:r w:rsidR="00707B5A">
        <w:rPr>
          <w:rFonts w:ascii="Times New Roman" w:eastAsiaTheme="minorEastAsia" w:hAnsi="Times New Roman" w:cs="Times New Roman"/>
          <w:sz w:val="24"/>
          <w:szCs w:val="24"/>
          <w:lang w:val="en-GB"/>
        </w:rPr>
        <w:t xml:space="preserve"> FDI</w:t>
      </w:r>
      <w:r w:rsidR="00214198">
        <w:rPr>
          <w:rFonts w:ascii="Times New Roman" w:eastAsiaTheme="minorEastAsia" w:hAnsi="Times New Roman" w:cs="Times New Roman"/>
          <w:sz w:val="24"/>
          <w:szCs w:val="24"/>
          <w:lang w:val="en-GB"/>
        </w:rPr>
        <w:t xml:space="preserve"> </w:t>
      </w:r>
      <w:r w:rsidR="00214198">
        <w:rPr>
          <w:rFonts w:ascii="Times New Roman" w:hAnsi="Times New Roman" w:cs="Times New Roman"/>
          <w:sz w:val="24"/>
          <w:szCs w:val="24"/>
          <w:lang w:val="en-GB"/>
        </w:rPr>
        <w:t>(</w:t>
      </w:r>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oMath>
      <w:r w:rsidR="00214198" w:rsidRPr="00214198">
        <w:rPr>
          <w:rFonts w:ascii="Times New Roman" w:eastAsiaTheme="minorEastAsia" w:hAnsi="Times New Roman" w:cs="Times New Roman"/>
          <w:sz w:val="24"/>
          <w:szCs w:val="24"/>
          <w:lang w:val="en-GB"/>
        </w:rPr>
        <w:t>)</w:t>
      </w:r>
      <w:r w:rsidR="00BB76CE">
        <w:rPr>
          <w:rFonts w:ascii="Times New Roman" w:eastAsiaTheme="minorEastAsia" w:hAnsi="Times New Roman" w:cs="Times New Roman"/>
          <w:sz w:val="24"/>
          <w:szCs w:val="24"/>
          <w:lang w:val="en-GB"/>
        </w:rPr>
        <w:t xml:space="preserve">. </w:t>
      </w:r>
    </w:p>
    <w:p w14:paraId="011E7C80" w14:textId="7416CE95" w:rsidR="00612738" w:rsidRPr="00612738" w:rsidRDefault="00612738" w:rsidP="007646DE">
      <w:pPr>
        <w:pStyle w:val="Prrafodelista"/>
        <w:spacing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FDI=FD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 xml:space="preserve">   (1)</m:t>
          </m:r>
        </m:oMath>
      </m:oMathPara>
    </w:p>
    <w:p w14:paraId="64AF61D4" w14:textId="775C0BFD" w:rsidR="00612738" w:rsidRDefault="00612738" w:rsidP="00214198">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r w:rsidR="0003346F">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The </w:t>
      </w:r>
      <w:r w:rsidR="00214198">
        <w:rPr>
          <w:rFonts w:ascii="Times New Roman" w:eastAsiaTheme="minorEastAsia" w:hAnsi="Times New Roman" w:cs="Times New Roman"/>
          <w:sz w:val="24"/>
          <w:szCs w:val="24"/>
          <w:lang w:val="en-GB"/>
        </w:rPr>
        <w:t xml:space="preserve">first item refers to </w:t>
      </w:r>
      <w:r w:rsidR="00BB76CE">
        <w:rPr>
          <w:rFonts w:ascii="Times New Roman" w:eastAsiaTheme="minorEastAsia" w:hAnsi="Times New Roman" w:cs="Times New Roman"/>
          <w:sz w:val="24"/>
          <w:szCs w:val="24"/>
          <w:lang w:val="en-GB"/>
        </w:rPr>
        <w:t>the establishment of new facilities or the expansion of the existing ones typically expressed by a higher gross capital formation in the host country, so that it</w:t>
      </w:r>
      <w:r>
        <w:rPr>
          <w:rFonts w:ascii="Times New Roman" w:eastAsiaTheme="minorEastAsia" w:hAnsi="Times New Roman" w:cs="Times New Roman"/>
          <w:sz w:val="24"/>
          <w:szCs w:val="24"/>
          <w:lang w:val="en-GB"/>
        </w:rPr>
        <w:t xml:space="preserve"> is added directly to the realized real investment equation</w:t>
      </w:r>
      <w:r w:rsidR="00BB76CE">
        <w:rPr>
          <w:rFonts w:ascii="Times New Roman" w:eastAsiaTheme="minorEastAsia" w:hAnsi="Times New Roman" w:cs="Times New Roman"/>
          <w:sz w:val="24"/>
          <w:szCs w:val="24"/>
          <w:lang w:val="en-GB"/>
        </w:rPr>
        <w:t xml:space="preserve">. </w:t>
      </w:r>
    </w:p>
    <w:p w14:paraId="0124525D" w14:textId="567A437E" w:rsidR="00612738" w:rsidRDefault="00612738" w:rsidP="007646DE">
      <w:pPr>
        <w:spacing w:line="360" w:lineRule="auto"/>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m:oMath>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I</m:t>
            </m:r>
          </m:e>
          <m:sup>
            <m:r>
              <w:rPr>
                <w:rFonts w:ascii="Cambria Math" w:eastAsiaTheme="minorEastAsia" w:hAnsi="Cambria Math" w:cs="Times New Roman"/>
                <w:sz w:val="24"/>
                <w:szCs w:val="24"/>
                <w:lang w:val="en-GB"/>
              </w:rPr>
              <m:t>K</m:t>
            </m:r>
          </m:sup>
        </m:sSup>
        <m:r>
          <w:rPr>
            <w:rFonts w:ascii="Cambria Math" w:eastAsiaTheme="minorEastAsia" w:hAnsi="Cambria Math" w:cs="Times New Roman"/>
            <w:sz w:val="24"/>
            <w:szCs w:val="24"/>
            <w:lang w:val="en-GB"/>
          </w:rPr>
          <m:t>=</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I</m:t>
            </m:r>
          </m:e>
          <m:sup>
            <m:r>
              <w:rPr>
                <w:rFonts w:ascii="Cambria Math" w:eastAsiaTheme="minorEastAsia" w:hAnsi="Cambria Math" w:cs="Times New Roman"/>
                <w:sz w:val="24"/>
                <w:szCs w:val="24"/>
                <w:lang w:val="en-GB"/>
              </w:rPr>
              <m:t>D</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FD</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I</m:t>
                </m:r>
              </m:e>
              <m:sup>
                <m:r>
                  <w:rPr>
                    <w:rFonts w:ascii="Cambria Math" w:eastAsiaTheme="minorEastAsia" w:hAnsi="Cambria Math" w:cs="Times New Roman"/>
                    <w:sz w:val="24"/>
                    <w:szCs w:val="24"/>
                    <w:lang w:val="en-GB"/>
                  </w:rPr>
                  <m:t>G</m:t>
                </m:r>
              </m:sup>
            </m:sSup>
            <m:r>
              <w:rPr>
                <w:rFonts w:ascii="Cambria Math" w:eastAsiaTheme="minorEastAsia" w:hAnsi="Cambria Math" w:cs="Times New Roman"/>
                <w:sz w:val="24"/>
                <w:szCs w:val="24"/>
                <w:lang w:val="en-GB"/>
              </w:rPr>
              <m:t xml:space="preserve"> </m:t>
            </m:r>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N</m:t>
                </m:r>
              </m:sup>
            </m:sSup>
          </m:num>
          <m:den>
            <m:r>
              <w:rPr>
                <w:rFonts w:ascii="Cambria Math" w:eastAsiaTheme="minorEastAsia" w:hAnsi="Cambria Math" w:cs="Times New Roman"/>
                <w:sz w:val="24"/>
                <w:szCs w:val="24"/>
                <w:lang w:val="en-GB"/>
              </w:rPr>
              <m:t>p</m:t>
            </m:r>
          </m:den>
        </m:f>
        <m:r>
          <w:rPr>
            <w:rFonts w:ascii="Cambria Math" w:eastAsiaTheme="minorEastAsia" w:hAnsi="Cambria Math" w:cs="Times New Roman"/>
            <w:sz w:val="24"/>
            <w:szCs w:val="24"/>
            <w:lang w:val="en-GB"/>
          </w:rPr>
          <m:t xml:space="preserve">        (2)</m:t>
        </m:r>
      </m:oMath>
    </w:p>
    <w:p w14:paraId="7A198A6C" w14:textId="2144D1AA" w:rsidR="0003346F" w:rsidRPr="005432CE" w:rsidRDefault="0003346F" w:rsidP="007646DE">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 xml:space="preserve">    </w:t>
      </w:r>
      <w:r w:rsidR="00BB76CE">
        <w:rPr>
          <w:rFonts w:ascii="Times New Roman" w:eastAsiaTheme="minorEastAsia" w:hAnsi="Times New Roman" w:cs="Times New Roman"/>
          <w:sz w:val="24"/>
          <w:szCs w:val="24"/>
          <w:lang w:val="en-GB"/>
        </w:rPr>
        <w:t xml:space="preserve">On the other hand, non-greenfield FDI </w:t>
      </w:r>
      <w:r w:rsidR="005432CE">
        <w:rPr>
          <w:rFonts w:ascii="Times New Roman" w:eastAsiaTheme="minorEastAsia" w:hAnsi="Times New Roman" w:cs="Times New Roman"/>
          <w:sz w:val="24"/>
          <w:szCs w:val="24"/>
          <w:lang w:val="en-GB"/>
        </w:rPr>
        <w:t xml:space="preserve">is not a source of new physical capital accumulation but rather a source of funding for firms and banks by reducing their total financial needs, </w:t>
      </w:r>
      <m:oMath>
        <m:r>
          <w:rPr>
            <w:rFonts w:ascii="Cambria Math" w:eastAsiaTheme="minorEastAsia" w:hAnsi="Cambria Math" w:cs="Times New Roman"/>
            <w:sz w:val="24"/>
            <w:szCs w:val="24"/>
            <w:lang w:val="en-GB"/>
          </w:rPr>
          <m:t>TF</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F</m:t>
            </m:r>
          </m:sub>
        </m:sSub>
      </m:oMath>
      <w:r w:rsidR="005432CE">
        <w:rPr>
          <w:rFonts w:ascii="Times New Roman" w:eastAsiaTheme="minorEastAsia" w:hAnsi="Times New Roman" w:cs="Times New Roman"/>
          <w:sz w:val="24"/>
          <w:szCs w:val="24"/>
          <w:lang w:val="en-GB"/>
        </w:rPr>
        <w:t xml:space="preserve"> and </w:t>
      </w:r>
      <m:oMath>
        <m:r>
          <w:rPr>
            <w:rFonts w:ascii="Cambria Math" w:eastAsiaTheme="minorEastAsia" w:hAnsi="Cambria Math" w:cs="Times New Roman"/>
            <w:sz w:val="24"/>
            <w:szCs w:val="24"/>
            <w:lang w:val="en-GB"/>
          </w:rPr>
          <m:t>TF</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B</m:t>
            </m:r>
          </m:sub>
        </m:sSub>
      </m:oMath>
      <w:r w:rsidR="005432CE">
        <w:rPr>
          <w:rFonts w:ascii="Times New Roman" w:eastAsiaTheme="minorEastAsia" w:hAnsi="Times New Roman" w:cs="Times New Roman"/>
          <w:sz w:val="24"/>
          <w:szCs w:val="24"/>
          <w:lang w:val="en-GB"/>
        </w:rPr>
        <w:t xml:space="preserve">, respectively. </w:t>
      </w:r>
      <w:r w:rsidR="005432CE" w:rsidRPr="005432CE">
        <w:rPr>
          <w:rFonts w:ascii="Times New Roman" w:eastAsiaTheme="minorEastAsia" w:hAnsi="Times New Roman" w:cs="Times New Roman"/>
          <w:sz w:val="24"/>
          <w:szCs w:val="24"/>
          <w:lang w:val="en-GB"/>
        </w:rPr>
        <w:t xml:space="preserve">So,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ξ</m:t>
            </m:r>
          </m:e>
          <m:sub>
            <m:r>
              <w:rPr>
                <w:rFonts w:ascii="Cambria Math" w:hAnsi="Cambria Math" w:cs="Times New Roman"/>
                <w:sz w:val="24"/>
                <w:szCs w:val="24"/>
                <w:lang w:val="en-GB"/>
              </w:rPr>
              <m:t>F</m:t>
            </m:r>
          </m:sub>
        </m:sSub>
        <m:r>
          <w:rPr>
            <w:rFonts w:ascii="Cambria Math" w:hAnsi="Cambria Math" w:cs="Times New Roman"/>
            <w:sz w:val="24"/>
            <w:szCs w:val="24"/>
            <w:lang w:val="en-GB"/>
          </w:rPr>
          <m:t>⋅FD</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P</m:t>
            </m:r>
          </m:sup>
        </m:sSup>
      </m:oMath>
      <w:r w:rsidR="005432CE" w:rsidRPr="005432CE">
        <w:rPr>
          <w:rFonts w:ascii="Times New Roman" w:eastAsiaTheme="minorEastAsia" w:hAnsi="Times New Roman" w:cs="Times New Roman"/>
          <w:sz w:val="24"/>
          <w:szCs w:val="24"/>
          <w:lang w:val="en-GB"/>
        </w:rPr>
        <w:t xml:space="preserve"> is the non</w:t>
      </w:r>
      <w:r w:rsidR="005432CE">
        <w:rPr>
          <w:rFonts w:ascii="Times New Roman" w:eastAsiaTheme="minorEastAsia" w:hAnsi="Times New Roman" w:cs="Times New Roman"/>
          <w:sz w:val="24"/>
          <w:szCs w:val="24"/>
          <w:lang w:val="en-GB"/>
        </w:rPr>
        <w:t xml:space="preserve"> – greenfield FDI allocated to the firms while </w:t>
      </w:r>
      <m:oMath>
        <m:r>
          <w:rPr>
            <w:rFonts w:ascii="Cambria Math" w:eastAsiaTheme="minorEastAsia" w:hAnsi="Cambria Math" w:cs="Times New Roman"/>
            <w:sz w:val="24"/>
            <w:szCs w:val="24"/>
            <w:lang w:val="en-GB"/>
          </w:rPr>
          <m:t>(1-</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ξ</m:t>
            </m:r>
          </m:e>
          <m:sub>
            <m:r>
              <w:rPr>
                <w:rFonts w:ascii="Cambria Math" w:hAnsi="Cambria Math" w:cs="Times New Roman"/>
                <w:sz w:val="24"/>
                <w:szCs w:val="24"/>
                <w:lang w:val="en-GB"/>
              </w:rPr>
              <m:t>F</m:t>
            </m:r>
          </m:sub>
        </m:sSub>
        <m:r>
          <w:rPr>
            <w:rFonts w:ascii="Cambria Math" w:hAnsi="Cambria Math" w:cs="Times New Roman"/>
            <w:sz w:val="24"/>
            <w:szCs w:val="24"/>
            <w:lang w:val="en-GB"/>
          </w:rPr>
          <m:t>)⋅FD</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P</m:t>
            </m:r>
          </m:sup>
        </m:sSup>
      </m:oMath>
      <w:r w:rsidR="005432CE">
        <w:rPr>
          <w:rFonts w:ascii="Times New Roman" w:eastAsiaTheme="minorEastAsia" w:hAnsi="Times New Roman" w:cs="Times New Roman"/>
          <w:sz w:val="24"/>
          <w:szCs w:val="24"/>
          <w:lang w:val="en-GB"/>
        </w:rPr>
        <w:t xml:space="preserve"> is the</w:t>
      </w:r>
      <w:r>
        <w:rPr>
          <w:rFonts w:ascii="Times New Roman" w:eastAsiaTheme="minorEastAsia" w:hAnsi="Times New Roman" w:cs="Times New Roman"/>
          <w:sz w:val="24"/>
          <w:szCs w:val="24"/>
          <w:lang w:val="en-GB"/>
        </w:rPr>
        <w:t xml:space="preserve"> non</w:t>
      </w:r>
      <w:r w:rsidR="005432CE">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 greenfield FDI allocated to the banks. </w:t>
      </w:r>
    </w:p>
    <w:p w14:paraId="0D033270" w14:textId="59616F69" w:rsidR="005432CE" w:rsidRPr="00612738" w:rsidRDefault="005432CE" w:rsidP="007646DE">
      <w:pPr>
        <w:spacing w:line="360" w:lineRule="auto"/>
        <w:jc w:val="both"/>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m:t>TF</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F</m:t>
              </m:r>
            </m:sub>
          </m:sSub>
          <m:r>
            <w:rPr>
              <w:rFonts w:ascii="Cambria Math" w:eastAsiaTheme="minorEastAsia" w:hAnsi="Cambria Math" w:cs="Times New Roman"/>
              <w:sz w:val="24"/>
              <w:szCs w:val="24"/>
              <w:lang w:val="en-GB"/>
            </w:rPr>
            <m:t>=p</m:t>
          </m:r>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K</m:t>
              </m:r>
            </m:sup>
          </m:sSup>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E</m:t>
              </m:r>
            </m:e>
            <m:sub>
              <m:r>
                <w:rPr>
                  <w:rFonts w:ascii="Cambria Math" w:hAnsi="Cambria Math" w:cs="Times New Roman"/>
                  <w:sz w:val="24"/>
                  <w:szCs w:val="24"/>
                  <w:lang w:val="en-GB"/>
                </w:rPr>
                <m:t>F</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ξ</m:t>
              </m:r>
            </m:e>
            <m:sub>
              <m:r>
                <w:rPr>
                  <w:rFonts w:ascii="Cambria Math" w:hAnsi="Cambria Math" w:cs="Times New Roman"/>
                  <w:sz w:val="24"/>
                  <w:szCs w:val="24"/>
                  <w:lang w:val="en-GB"/>
                </w:rPr>
                <m:t>F</m:t>
              </m:r>
            </m:sub>
          </m:sSub>
          <m:r>
            <w:rPr>
              <w:rFonts w:ascii="Cambria Math" w:hAnsi="Cambria Math" w:cs="Times New Roman"/>
              <w:sz w:val="24"/>
              <w:szCs w:val="24"/>
              <w:lang w:val="en-GB"/>
            </w:rPr>
            <m:t>⋅FD</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P</m:t>
              </m:r>
            </m:sup>
          </m:sSup>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N</m:t>
              </m:r>
            </m:sup>
          </m:sSup>
          <m:r>
            <w:rPr>
              <w:rFonts w:ascii="Cambria Math" w:hAnsi="Cambria Math" w:cs="Times New Roman"/>
              <w:sz w:val="24"/>
              <w:szCs w:val="24"/>
              <w:lang w:val="en-GB"/>
            </w:rPr>
            <m:t xml:space="preserve">    (3)</m:t>
          </m:r>
        </m:oMath>
      </m:oMathPara>
    </w:p>
    <w:p w14:paraId="41FCE6E1" w14:textId="66B78F39" w:rsidR="00705938" w:rsidRPr="0003346F" w:rsidRDefault="0003346F" w:rsidP="007646DE">
      <w:pPr>
        <w:spacing w:line="360" w:lineRule="auto"/>
        <w:jc w:val="both"/>
        <w:rPr>
          <w:rFonts w:ascii="Times New Roman" w:eastAsiaTheme="minorEastAsia" w:hAnsi="Times New Roman" w:cs="Times New Roman"/>
          <w:sz w:val="23"/>
          <w:szCs w:val="23"/>
          <w:lang w:val="en-GB"/>
        </w:rPr>
      </w:pPr>
      <m:oMathPara>
        <m:oMath>
          <m:r>
            <w:rPr>
              <w:rFonts w:ascii="Cambria Math" w:eastAsiaTheme="minorEastAsia" w:hAnsi="Cambria Math" w:cs="Times New Roman"/>
              <w:sz w:val="23"/>
              <w:szCs w:val="23"/>
            </w:rPr>
            <m:t>TF</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N</m:t>
              </m:r>
            </m:e>
            <m:sub>
              <m:r>
                <w:rPr>
                  <w:rFonts w:ascii="Cambria Math" w:eastAsiaTheme="minorEastAsia" w:hAnsi="Cambria Math" w:cs="Times New Roman"/>
                  <w:sz w:val="23"/>
                  <w:szCs w:val="23"/>
                </w:rPr>
                <m:t>B</m:t>
              </m:r>
            </m:sub>
          </m:sSub>
          <m:r>
            <w:rPr>
              <w:rFonts w:ascii="Cambria Math" w:eastAsiaTheme="minorEastAsia" w:hAnsi="Cambria Math" w:cs="Times New Roman"/>
              <w:sz w:val="23"/>
              <w:szCs w:val="23"/>
            </w:rPr>
            <m:t>=</m:t>
          </m:r>
          <m:d>
            <m:dPr>
              <m:begChr m:val="["/>
              <m:endChr m:val="]"/>
              <m:ctrlPr>
                <w:rPr>
                  <w:rFonts w:ascii="Cambria Math" w:eastAsiaTheme="minorEastAsia" w:hAnsi="Cambria Math" w:cs="Times New Roman"/>
                  <w:i/>
                  <w:sz w:val="23"/>
                  <w:szCs w:val="23"/>
                </w:rPr>
              </m:ctrlPr>
            </m:dPr>
            <m:e>
              <m:sSubSup>
                <m:sSubSupPr>
                  <m:ctrlPr>
                    <w:rPr>
                      <w:rFonts w:ascii="Cambria Math" w:eastAsiaTheme="minorEastAsia" w:hAnsi="Cambria Math" w:cs="Times New Roman"/>
                      <w:i/>
                      <w:sz w:val="23"/>
                      <w:szCs w:val="23"/>
                    </w:rPr>
                  </m:ctrlPr>
                </m:sSubSupPr>
                <m:e>
                  <m:acc>
                    <m:accPr>
                      <m:chr m:val="̇"/>
                      <m:ctrlPr>
                        <w:rPr>
                          <w:rFonts w:ascii="Cambria Math" w:eastAsiaTheme="minorEastAsia" w:hAnsi="Cambria Math" w:cs="Times New Roman"/>
                          <w:i/>
                          <w:sz w:val="23"/>
                          <w:szCs w:val="23"/>
                        </w:rPr>
                      </m:ctrlPr>
                    </m:accPr>
                    <m:e>
                      <m:r>
                        <w:rPr>
                          <w:rFonts w:ascii="Cambria Math" w:eastAsiaTheme="minorEastAsia" w:hAnsi="Cambria Math" w:cs="Times New Roman"/>
                          <w:sz w:val="23"/>
                          <w:szCs w:val="23"/>
                        </w:rPr>
                        <m:t>L</m:t>
                      </m:r>
                    </m:e>
                  </m:acc>
                </m:e>
                <m:sub>
                  <m:r>
                    <w:rPr>
                      <w:rFonts w:ascii="Cambria Math" w:eastAsiaTheme="minorEastAsia" w:hAnsi="Cambria Math" w:cs="Times New Roman"/>
                      <w:sz w:val="23"/>
                      <w:szCs w:val="23"/>
                    </w:rPr>
                    <m:t>F</m:t>
                  </m:r>
                </m:sub>
                <m:sup>
                  <m:r>
                    <w:rPr>
                      <w:rFonts w:ascii="Cambria Math" w:eastAsiaTheme="minorEastAsia" w:hAnsi="Cambria Math" w:cs="Times New Roman"/>
                      <w:sz w:val="23"/>
                      <w:szCs w:val="23"/>
                    </w:rPr>
                    <m:t>D</m:t>
                  </m:r>
                </m:sup>
              </m:sSubSup>
              <m:r>
                <w:rPr>
                  <w:rFonts w:ascii="Cambria Math" w:eastAsiaTheme="minorEastAsia" w:hAnsi="Cambria Math" w:cs="Times New Roman"/>
                  <w:sz w:val="23"/>
                  <w:szCs w:val="23"/>
                  <w:lang w:val="en-GB"/>
                </w:rPr>
                <m:t>+</m:t>
              </m:r>
              <m:sSubSup>
                <m:sSubSupPr>
                  <m:ctrlPr>
                    <w:rPr>
                      <w:rFonts w:ascii="Cambria Math" w:eastAsiaTheme="minorEastAsia" w:hAnsi="Cambria Math" w:cs="Times New Roman"/>
                      <w:i/>
                      <w:sz w:val="23"/>
                      <w:szCs w:val="23"/>
                    </w:rPr>
                  </m:ctrlPr>
                </m:sSubSupPr>
                <m:e>
                  <m:acc>
                    <m:accPr>
                      <m:chr m:val="̇"/>
                      <m:ctrlPr>
                        <w:rPr>
                          <w:rFonts w:ascii="Cambria Math" w:eastAsiaTheme="minorEastAsia" w:hAnsi="Cambria Math" w:cs="Times New Roman"/>
                          <w:i/>
                          <w:sz w:val="23"/>
                          <w:szCs w:val="23"/>
                        </w:rPr>
                      </m:ctrlPr>
                    </m:accPr>
                    <m:e>
                      <m:r>
                        <w:rPr>
                          <w:rFonts w:ascii="Cambria Math" w:eastAsiaTheme="minorEastAsia" w:hAnsi="Cambria Math" w:cs="Times New Roman"/>
                          <w:sz w:val="23"/>
                          <w:szCs w:val="23"/>
                        </w:rPr>
                        <m:t>L</m:t>
                      </m:r>
                    </m:e>
                  </m:acc>
                </m:e>
                <m:sub>
                  <m:r>
                    <w:rPr>
                      <w:rFonts w:ascii="Cambria Math" w:eastAsiaTheme="minorEastAsia" w:hAnsi="Cambria Math" w:cs="Times New Roman"/>
                      <w:sz w:val="23"/>
                      <w:szCs w:val="23"/>
                    </w:rPr>
                    <m:t>H</m:t>
                  </m:r>
                </m:sub>
                <m:sup>
                  <m:r>
                    <w:rPr>
                      <w:rFonts w:ascii="Cambria Math" w:eastAsiaTheme="minorEastAsia" w:hAnsi="Cambria Math" w:cs="Times New Roman"/>
                      <w:sz w:val="23"/>
                      <w:szCs w:val="23"/>
                    </w:rPr>
                    <m:t>D</m:t>
                  </m:r>
                </m:sup>
              </m:sSubSup>
              <m:r>
                <w:rPr>
                  <w:rFonts w:ascii="Cambria Math" w:eastAsiaTheme="minorEastAsia" w:hAnsi="Cambria Math" w:cs="Times New Roman"/>
                  <w:sz w:val="23"/>
                  <w:szCs w:val="23"/>
                  <w:lang w:val="en-GB"/>
                </w:rPr>
                <m:t>+</m:t>
              </m:r>
              <m:sSubSup>
                <m:sSubSupPr>
                  <m:ctrlPr>
                    <w:rPr>
                      <w:rFonts w:ascii="Cambria Math" w:eastAsiaTheme="minorEastAsia" w:hAnsi="Cambria Math" w:cs="Times New Roman"/>
                      <w:i/>
                      <w:sz w:val="23"/>
                      <w:szCs w:val="23"/>
                    </w:rPr>
                  </m:ctrlPr>
                </m:sSubSupPr>
                <m:e>
                  <m:acc>
                    <m:accPr>
                      <m:chr m:val="̇"/>
                      <m:ctrlPr>
                        <w:rPr>
                          <w:rFonts w:ascii="Cambria Math" w:eastAsiaTheme="minorEastAsia" w:hAnsi="Cambria Math" w:cs="Times New Roman"/>
                          <w:i/>
                          <w:sz w:val="23"/>
                          <w:szCs w:val="23"/>
                        </w:rPr>
                      </m:ctrlPr>
                    </m:accPr>
                    <m:e>
                      <m:r>
                        <w:rPr>
                          <w:rFonts w:ascii="Cambria Math" w:eastAsiaTheme="minorEastAsia" w:hAnsi="Cambria Math" w:cs="Times New Roman"/>
                          <w:sz w:val="23"/>
                          <w:szCs w:val="23"/>
                        </w:rPr>
                        <m:t>B</m:t>
                      </m:r>
                    </m:e>
                  </m:acc>
                </m:e>
                <m:sub>
                  <m:r>
                    <w:rPr>
                      <w:rFonts w:ascii="Cambria Math" w:eastAsiaTheme="minorEastAsia" w:hAnsi="Cambria Math" w:cs="Times New Roman"/>
                      <w:sz w:val="23"/>
                      <w:szCs w:val="23"/>
                    </w:rPr>
                    <m:t>G</m:t>
                  </m:r>
                </m:sub>
                <m:sup>
                  <m:r>
                    <w:rPr>
                      <w:rFonts w:ascii="Cambria Math" w:eastAsiaTheme="minorEastAsia" w:hAnsi="Cambria Math" w:cs="Times New Roman"/>
                      <w:sz w:val="23"/>
                      <w:szCs w:val="23"/>
                    </w:rPr>
                    <m:t>B</m:t>
                  </m:r>
                </m:sup>
              </m:sSubSup>
            </m:e>
          </m:d>
          <m:r>
            <w:rPr>
              <w:rFonts w:ascii="Cambria Math" w:eastAsiaTheme="minorEastAsia" w:hAnsi="Cambria Math" w:cs="Times New Roman"/>
              <w:sz w:val="23"/>
              <w:szCs w:val="23"/>
              <w:lang w:val="en-GB"/>
            </w:rPr>
            <m:t>+</m:t>
          </m:r>
          <m:r>
            <w:rPr>
              <w:rFonts w:ascii="Cambria Math" w:eastAsiaTheme="minorEastAsia" w:hAnsi="Cambria Math" w:cs="Times New Roman"/>
              <w:sz w:val="23"/>
              <w:szCs w:val="23"/>
            </w:rPr>
            <m:t>rrr</m:t>
          </m:r>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D</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 xml:space="preserve"> </m:t>
              </m:r>
            </m:e>
          </m:d>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OF</m:t>
                  </m:r>
                </m:e>
              </m:acc>
            </m:e>
          </m:d>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R</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b>
                <m:sSubPr>
                  <m:ctrlPr>
                    <w:rPr>
                      <w:rFonts w:ascii="Cambria Math" w:hAnsi="Cambria Math" w:cs="Times New Roman"/>
                      <w:i/>
                      <w:sz w:val="23"/>
                      <w:szCs w:val="23"/>
                      <w:lang w:val="en-GB"/>
                    </w:rPr>
                  </m:ctrlPr>
                </m:sSubPr>
                <m:e>
                  <m:r>
                    <w:rPr>
                      <w:rFonts w:ascii="Cambria Math" w:hAnsi="Cambria Math" w:cs="Times New Roman"/>
                      <w:sz w:val="23"/>
                      <w:szCs w:val="23"/>
                      <w:lang w:val="en-GB"/>
                    </w:rPr>
                    <m:t>1- ξ</m:t>
                  </m:r>
                </m:e>
                <m:sub>
                  <m:r>
                    <w:rPr>
                      <w:rFonts w:ascii="Cambria Math" w:hAnsi="Cambria Math" w:cs="Times New Roman"/>
                      <w:sz w:val="23"/>
                      <w:szCs w:val="23"/>
                      <w:lang w:val="en-GB"/>
                    </w:rPr>
                    <m:t>F</m:t>
                  </m:r>
                </m:sub>
              </m:sSub>
            </m:e>
          </m:d>
          <m:r>
            <w:rPr>
              <w:rFonts w:ascii="Cambria Math" w:hAnsi="Cambria Math" w:cs="Times New Roman"/>
              <w:sz w:val="23"/>
              <w:szCs w:val="23"/>
              <w:lang w:val="en-GB"/>
            </w:rPr>
            <m:t>⋅FD</m:t>
          </m:r>
          <m:sSup>
            <m:sSupPr>
              <m:ctrlPr>
                <w:rPr>
                  <w:rFonts w:ascii="Cambria Math" w:hAnsi="Cambria Math" w:cs="Times New Roman"/>
                  <w:i/>
                  <w:sz w:val="23"/>
                  <w:szCs w:val="23"/>
                  <w:lang w:val="en-GB"/>
                </w:rPr>
              </m:ctrlPr>
            </m:sSupPr>
            <m:e>
              <m:r>
                <w:rPr>
                  <w:rFonts w:ascii="Cambria Math" w:hAnsi="Cambria Math" w:cs="Times New Roman"/>
                  <w:sz w:val="23"/>
                  <w:szCs w:val="23"/>
                  <w:lang w:val="en-GB"/>
                </w:rPr>
                <m:t>I</m:t>
              </m:r>
            </m:e>
            <m:sup>
              <m:r>
                <w:rPr>
                  <w:rFonts w:ascii="Cambria Math" w:hAnsi="Cambria Math" w:cs="Times New Roman"/>
                  <w:sz w:val="23"/>
                  <w:szCs w:val="23"/>
                  <w:lang w:val="en-GB"/>
                </w:rPr>
                <m:t>P</m:t>
              </m:r>
            </m:sup>
          </m:sSup>
          <m:r>
            <w:rPr>
              <w:rFonts w:ascii="Cambria Math" w:hAnsi="Cambria Math" w:cs="Times New Roman"/>
              <w:sz w:val="23"/>
              <w:szCs w:val="23"/>
              <w:lang w:val="en-GB"/>
            </w:rPr>
            <m:t>⋅</m:t>
          </m:r>
          <m:sSup>
            <m:sSupPr>
              <m:ctrlPr>
                <w:rPr>
                  <w:rFonts w:ascii="Cambria Math" w:hAnsi="Cambria Math" w:cs="Times New Roman"/>
                  <w:i/>
                  <w:sz w:val="23"/>
                  <w:szCs w:val="23"/>
                  <w:lang w:val="en-GB"/>
                </w:rPr>
              </m:ctrlPr>
            </m:sSupPr>
            <m:e>
              <m:r>
                <w:rPr>
                  <w:rFonts w:ascii="Cambria Math" w:hAnsi="Cambria Math" w:cs="Times New Roman"/>
                  <w:sz w:val="23"/>
                  <w:szCs w:val="23"/>
                  <w:lang w:val="en-GB"/>
                </w:rPr>
                <m:t>e</m:t>
              </m:r>
            </m:e>
            <m:sup>
              <m:r>
                <w:rPr>
                  <w:rFonts w:ascii="Cambria Math" w:hAnsi="Cambria Math" w:cs="Times New Roman"/>
                  <w:sz w:val="23"/>
                  <w:szCs w:val="23"/>
                  <w:lang w:val="en-GB"/>
                </w:rPr>
                <m:t>N</m:t>
              </m:r>
            </m:sup>
          </m:sSup>
          <m:r>
            <w:rPr>
              <w:rFonts w:ascii="Cambria Math" w:hAnsi="Cambria Math" w:cs="Times New Roman"/>
              <w:sz w:val="23"/>
              <w:szCs w:val="23"/>
              <w:lang w:val="en-GB"/>
            </w:rPr>
            <m:t xml:space="preserve">  (4)  </m:t>
          </m:r>
        </m:oMath>
      </m:oMathPara>
    </w:p>
    <w:p w14:paraId="45F49F49" w14:textId="2356BFF1" w:rsidR="0003346F" w:rsidRPr="00474046" w:rsidRDefault="0003346F" w:rsidP="00474046">
      <w:pPr>
        <w:spacing w:after="240" w:line="276" w:lineRule="auto"/>
        <w:jc w:val="both"/>
        <w:rPr>
          <w:rFonts w:ascii="Times New Roman" w:hAnsi="Times New Roman" w:cs="Times New Roman"/>
          <w:sz w:val="24"/>
          <w:szCs w:val="24"/>
          <w:lang w:val="en-GB"/>
        </w:rPr>
      </w:pPr>
      <w:r w:rsidRPr="007646DE">
        <w:rPr>
          <w:rFonts w:ascii="Times New Roman" w:eastAsiaTheme="minorEastAsia" w:hAnsi="Times New Roman" w:cs="Times New Roman"/>
          <w:sz w:val="24"/>
          <w:szCs w:val="24"/>
          <w:lang w:val="en-GB"/>
        </w:rPr>
        <w:t xml:space="preserve">   </w:t>
      </w:r>
      <w:r w:rsidR="007646DE" w:rsidRPr="007646DE">
        <w:rPr>
          <w:rFonts w:ascii="Times New Roman" w:eastAsiaTheme="minorEastAsia" w:hAnsi="Times New Roman" w:cs="Times New Roman"/>
          <w:sz w:val="24"/>
          <w:szCs w:val="24"/>
          <w:lang w:val="en-GB"/>
        </w:rPr>
        <w:t xml:space="preserve">Regarding to the behaviour of </w:t>
      </w:r>
      <w:r w:rsidR="007646DE">
        <w:rPr>
          <w:rFonts w:ascii="Times New Roman" w:eastAsiaTheme="minorEastAsia" w:hAnsi="Times New Roman" w:cs="Times New Roman"/>
          <w:sz w:val="24"/>
          <w:szCs w:val="24"/>
          <w:lang w:val="en-GB"/>
        </w:rPr>
        <w:t xml:space="preserve">total FDI inflows to the economy, </w:t>
      </w:r>
      <w:r w:rsidR="00B9435E">
        <w:rPr>
          <w:rFonts w:ascii="Times New Roman" w:eastAsiaTheme="minorEastAsia" w:hAnsi="Times New Roman" w:cs="Times New Roman"/>
          <w:sz w:val="24"/>
          <w:szCs w:val="24"/>
          <w:lang w:val="en-GB"/>
        </w:rPr>
        <w:t xml:space="preserve">in a standard framework, </w:t>
      </w:r>
      <w:r w:rsidR="007646DE">
        <w:rPr>
          <w:rFonts w:ascii="Times New Roman" w:eastAsiaTheme="minorEastAsia" w:hAnsi="Times New Roman" w:cs="Times New Roman"/>
          <w:sz w:val="24"/>
          <w:szCs w:val="24"/>
          <w:lang w:val="en-GB"/>
        </w:rPr>
        <w:t xml:space="preserve"> FDI patterns worldwide could depend on some structural conditions such as relative labour costs, taxes and tariffs, environmental regulation, and sectoral composition of the host economy (Stone &amp; Jomini, </w:t>
      </w:r>
      <w:r w:rsidR="00707B5A">
        <w:rPr>
          <w:rFonts w:ascii="Times New Roman" w:eastAsiaTheme="minorEastAsia" w:hAnsi="Times New Roman" w:cs="Times New Roman"/>
          <w:sz w:val="24"/>
          <w:szCs w:val="24"/>
          <w:lang w:val="en-GB"/>
        </w:rPr>
        <w:t>2002</w:t>
      </w:r>
      <w:r w:rsidR="007646DE">
        <w:rPr>
          <w:rFonts w:ascii="Times New Roman" w:eastAsiaTheme="minorEastAsia" w:hAnsi="Times New Roman" w:cs="Times New Roman"/>
          <w:sz w:val="24"/>
          <w:szCs w:val="24"/>
          <w:lang w:val="en-GB"/>
        </w:rPr>
        <w:t xml:space="preserve">), </w:t>
      </w:r>
      <w:r w:rsidR="00B9435E">
        <w:rPr>
          <w:rFonts w:ascii="Times New Roman" w:eastAsiaTheme="minorEastAsia" w:hAnsi="Times New Roman" w:cs="Times New Roman"/>
          <w:sz w:val="24"/>
          <w:szCs w:val="24"/>
          <w:lang w:val="en-GB"/>
        </w:rPr>
        <w:t xml:space="preserve">added </w:t>
      </w:r>
      <w:r w:rsidR="007646DE">
        <w:rPr>
          <w:rFonts w:ascii="Times New Roman" w:eastAsiaTheme="minorEastAsia" w:hAnsi="Times New Roman" w:cs="Times New Roman"/>
          <w:sz w:val="24"/>
          <w:szCs w:val="24"/>
          <w:lang w:val="en-GB"/>
        </w:rPr>
        <w:t>to infrastructure</w:t>
      </w:r>
      <w:r w:rsidR="00B9435E">
        <w:rPr>
          <w:rFonts w:ascii="Times New Roman" w:eastAsiaTheme="minorEastAsia" w:hAnsi="Times New Roman" w:cs="Times New Roman"/>
          <w:sz w:val="24"/>
          <w:szCs w:val="24"/>
          <w:lang w:val="en-GB"/>
        </w:rPr>
        <w:t xml:space="preserve">, natural resources and </w:t>
      </w:r>
      <w:r w:rsidR="007646DE">
        <w:rPr>
          <w:rFonts w:ascii="Times New Roman" w:eastAsiaTheme="minorEastAsia" w:hAnsi="Times New Roman" w:cs="Times New Roman"/>
          <w:sz w:val="24"/>
          <w:szCs w:val="24"/>
          <w:lang w:val="en-GB"/>
        </w:rPr>
        <w:t>human capital endowments</w:t>
      </w:r>
      <w:r w:rsidR="00B9435E">
        <w:rPr>
          <w:rFonts w:ascii="Times New Roman" w:eastAsiaTheme="minorEastAsia" w:hAnsi="Times New Roman" w:cs="Times New Roman"/>
          <w:sz w:val="24"/>
          <w:szCs w:val="24"/>
          <w:lang w:val="en-GB"/>
        </w:rPr>
        <w:t xml:space="preserve">, R&amp;D expenditure, political risks, and GDP performance (UNCTAD, </w:t>
      </w:r>
      <w:r w:rsidR="0061404D">
        <w:rPr>
          <w:rFonts w:ascii="Times New Roman" w:eastAsiaTheme="minorEastAsia" w:hAnsi="Times New Roman" w:cs="Times New Roman"/>
          <w:sz w:val="24"/>
          <w:szCs w:val="24"/>
          <w:lang w:val="en-GB"/>
        </w:rPr>
        <w:t>2002</w:t>
      </w:r>
      <w:r w:rsidR="00B9435E">
        <w:rPr>
          <w:rFonts w:ascii="Times New Roman" w:eastAsiaTheme="minorEastAsia" w:hAnsi="Times New Roman" w:cs="Times New Roman"/>
          <w:sz w:val="24"/>
          <w:szCs w:val="24"/>
          <w:lang w:val="en-GB"/>
        </w:rPr>
        <w:t xml:space="preserve">) </w:t>
      </w:r>
      <w:r w:rsidR="00B9435E">
        <w:rPr>
          <w:rFonts w:ascii="Times New Roman" w:hAnsi="Times New Roman" w:cs="Times New Roman"/>
          <w:sz w:val="24"/>
          <w:szCs w:val="24"/>
          <w:lang w:val="en-GB"/>
        </w:rPr>
        <w:t xml:space="preserve">(Garavito, Iregui &amp; Ramirez, 2014). However, since </w:t>
      </w:r>
      <w:r w:rsidR="00474046">
        <w:rPr>
          <w:rFonts w:ascii="Times New Roman" w:hAnsi="Times New Roman" w:cs="Times New Roman"/>
          <w:sz w:val="24"/>
          <w:szCs w:val="24"/>
          <w:lang w:val="en-GB"/>
        </w:rPr>
        <w:t xml:space="preserve">the model does not follow a multisectoral approach and that many of the possible determinants cannot be included in the model, it is assumed that FDI grows at a rate equal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oMath>
      <w:r w:rsidR="009051D6" w:rsidRPr="009051D6">
        <w:rPr>
          <w:rFonts w:ascii="Times New Roman" w:eastAsiaTheme="minorEastAsia" w:hAnsi="Times New Roman" w:cs="Times New Roman"/>
          <w:sz w:val="24"/>
          <w:szCs w:val="24"/>
          <w:lang w:val="en-GB"/>
        </w:rPr>
        <w:t xml:space="preserve">. </w:t>
      </w:r>
      <w:r w:rsidR="00474046">
        <w:rPr>
          <w:rFonts w:ascii="Times New Roman" w:eastAsiaTheme="minorEastAsia" w:hAnsi="Times New Roman" w:cs="Times New Roman"/>
          <w:sz w:val="24"/>
          <w:szCs w:val="24"/>
          <w:lang w:val="en-GB"/>
        </w:rPr>
        <w:t xml:space="preserve"> </w:t>
      </w:r>
    </w:p>
    <w:p w14:paraId="4C882D4A" w14:textId="48761A66" w:rsidR="0032768C" w:rsidRPr="00474046" w:rsidRDefault="00707B5A" w:rsidP="00474046">
      <w:pPr>
        <w:spacing w:line="480" w:lineRule="auto"/>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FDI</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r>
            <w:rPr>
              <w:rFonts w:ascii="Cambria Math" w:eastAsiaTheme="minorEastAsia" w:hAnsi="Cambria Math" w:cs="Times New Roman"/>
              <w:sz w:val="24"/>
              <w:szCs w:val="24"/>
            </w:rPr>
            <m:t>∙FDI       (5)</m:t>
          </m:r>
        </m:oMath>
      </m:oMathPara>
    </w:p>
    <w:p w14:paraId="2808FC48" w14:textId="6F4DD8D6" w:rsidR="009051D6" w:rsidRPr="00474046" w:rsidRDefault="00474046" w:rsidP="006A013F">
      <w:pPr>
        <w:spacing w:line="276" w:lineRule="auto"/>
        <w:jc w:val="both"/>
        <w:rPr>
          <w:rFonts w:ascii="Times New Roman" w:eastAsiaTheme="minorEastAsia" w:hAnsi="Times New Roman" w:cs="Times New Roman"/>
          <w:sz w:val="24"/>
          <w:szCs w:val="24"/>
          <w:lang w:val="en-GB"/>
        </w:rPr>
      </w:pPr>
      <w:r w:rsidRPr="00474046">
        <w:rPr>
          <w:rFonts w:ascii="Times New Roman" w:eastAsiaTheme="minorEastAsia" w:hAnsi="Times New Roman" w:cs="Times New Roman"/>
          <w:sz w:val="24"/>
          <w:szCs w:val="24"/>
          <w:lang w:val="en-GB"/>
        </w:rPr>
        <w:t xml:space="preserve">   In turn, FDI growth r</w:t>
      </w:r>
      <w:r>
        <w:rPr>
          <w:rFonts w:ascii="Times New Roman" w:eastAsiaTheme="minorEastAsia" w:hAnsi="Times New Roman" w:cs="Times New Roman"/>
          <w:sz w:val="24"/>
          <w:szCs w:val="24"/>
          <w:lang w:val="en-GB"/>
        </w:rPr>
        <w:t>ate follows a dynamic behaviour described by the equation (6). Firstly,</w:t>
      </w:r>
      <w:r w:rsidR="009051D6">
        <w:rPr>
          <w:rFonts w:ascii="Times New Roman" w:eastAsiaTheme="minorEastAsia" w:hAnsi="Times New Roman" w:cs="Times New Roman"/>
          <w:sz w:val="24"/>
          <w:szCs w:val="24"/>
          <w:lang w:val="en-GB"/>
        </w:rPr>
        <w:t xml:space="preserve"> there is acceleration in the FDI inflows to the economy when there is a positive output gap between domestic and international GDP growth rate. Secondly, based on the monetary structure of the model, it is supposed that foreign direct investors face a trade – off between</w:t>
      </w:r>
      <w:r w:rsidR="006A013F">
        <w:rPr>
          <w:rFonts w:ascii="Times New Roman" w:eastAsiaTheme="minorEastAsia" w:hAnsi="Times New Roman" w:cs="Times New Roman"/>
          <w:sz w:val="24"/>
          <w:szCs w:val="24"/>
          <w:lang w:val="en-GB"/>
        </w:rPr>
        <w:t xml:space="preserve"> an expected FDI profitability index</w:t>
      </w:r>
      <w:r w:rsidR="009051D6">
        <w:rPr>
          <w:rFonts w:ascii="Times New Roman" w:eastAsiaTheme="minorEastAsia" w:hAnsi="Times New Roman" w:cs="Times New Roman"/>
          <w:sz w:val="24"/>
          <w:szCs w:val="24"/>
          <w:lang w:val="en-GB"/>
        </w:rPr>
        <w:t xml:space="preserve"> and the</w:t>
      </w:r>
      <w:r w:rsidR="006A013F">
        <w:rPr>
          <w:rFonts w:ascii="Times New Roman" w:eastAsiaTheme="minorEastAsia" w:hAnsi="Times New Roman" w:cs="Times New Roman"/>
          <w:sz w:val="24"/>
          <w:szCs w:val="24"/>
          <w:lang w:val="en-GB"/>
        </w:rPr>
        <w:t xml:space="preserve"> </w:t>
      </w:r>
      <w:r w:rsidR="009051D6">
        <w:rPr>
          <w:rFonts w:ascii="Times New Roman" w:eastAsiaTheme="minorEastAsia" w:hAnsi="Times New Roman" w:cs="Times New Roman"/>
          <w:sz w:val="24"/>
          <w:szCs w:val="24"/>
          <w:lang w:val="en-GB"/>
        </w:rPr>
        <w:t>expected foreign yield</w:t>
      </w:r>
      <w:r w:rsidR="006A013F">
        <w:rPr>
          <w:rFonts w:ascii="Times New Roman" w:eastAsiaTheme="minorEastAsia" w:hAnsi="Times New Roman" w:cs="Times New Roman"/>
          <w:sz w:val="24"/>
          <w:szCs w:val="24"/>
          <w:lang w:val="en-GB"/>
        </w:rPr>
        <w:t xml:space="preserve">. </w:t>
      </w:r>
      <w:r w:rsidR="009051D6">
        <w:rPr>
          <w:rFonts w:ascii="Times New Roman" w:eastAsiaTheme="minorEastAsia" w:hAnsi="Times New Roman" w:cs="Times New Roman"/>
          <w:sz w:val="24"/>
          <w:szCs w:val="24"/>
          <w:lang w:val="en-GB"/>
        </w:rPr>
        <w:t xml:space="preserve">  </w:t>
      </w:r>
    </w:p>
    <w:p w14:paraId="18946AC1" w14:textId="34D9A93E" w:rsidR="00CA716A" w:rsidRPr="00CA716A" w:rsidRDefault="00707B5A" w:rsidP="009051D6">
      <w:pPr>
        <w:pStyle w:val="Prrafodelista"/>
        <w:spacing w:line="480" w:lineRule="auto"/>
        <w:ind w:left="360"/>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type m:val="skw"/>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GDP</m:t>
                          </m:r>
                        </m:e>
                      </m:acc>
                    </m:num>
                    <m:den>
                      <m:r>
                        <w:rPr>
                          <w:rFonts w:ascii="Cambria Math" w:eastAsiaTheme="minorEastAsia" w:hAnsi="Cambria Math" w:cs="Times New Roman"/>
                          <w:sz w:val="24"/>
                          <w:szCs w:val="24"/>
                        </w:rPr>
                        <m:t>GDP</m:t>
                      </m:r>
                    </m:den>
                  </m:f>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GDP</m:t>
                              </m:r>
                            </m:e>
                          </m:acc>
                        </m:e>
                        <m:sup>
                          <m:r>
                            <w:rPr>
                              <w:rFonts w:ascii="Cambria Math" w:eastAsiaTheme="minorEastAsia" w:hAnsi="Cambria Math" w:cs="Times New Roman"/>
                              <w:sz w:val="24"/>
                              <w:szCs w:val="24"/>
                            </w:rPr>
                            <m:t>W</m:t>
                          </m:r>
                        </m:sup>
                      </m:sSup>
                    </m:num>
                    <m:den>
                      <m:r>
                        <w:rPr>
                          <w:rFonts w:ascii="Cambria Math" w:eastAsiaTheme="minorEastAsia" w:hAnsi="Cambria Math" w:cs="Times New Roman"/>
                          <w:sz w:val="24"/>
                          <w:szCs w:val="24"/>
                        </w:rPr>
                        <m:t>GD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W</m:t>
                          </m:r>
                        </m:sup>
                      </m:sSup>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FDI</m:t>
                      </m:r>
                    </m:sub>
                    <m:sup>
                      <m:r>
                        <w:rPr>
                          <w:rFonts w:ascii="Cambria Math" w:eastAsiaTheme="minorEastAsia" w:hAnsi="Cambria Math" w:cs="Times New Roman"/>
                          <w:sz w:val="24"/>
                          <w:szCs w:val="24"/>
                        </w:rPr>
                        <m:t>e</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W,e</m:t>
                      </m:r>
                    </m:sup>
                  </m:sSup>
                </m:e>
              </m:d>
            </m:e>
          </m:d>
          <m:r>
            <w:rPr>
              <w:rFonts w:ascii="Cambria Math" w:eastAsiaTheme="minorEastAsia" w:hAnsi="Cambria Math" w:cs="Times New Roman"/>
              <w:sz w:val="24"/>
              <w:szCs w:val="24"/>
            </w:rPr>
            <m:t xml:space="preserve">   (6)</m:t>
          </m:r>
        </m:oMath>
      </m:oMathPara>
    </w:p>
    <w:p w14:paraId="343E5504" w14:textId="760B2B00" w:rsidR="003D5EC5" w:rsidRDefault="006A013F" w:rsidP="006A013F">
      <w:pPr>
        <w:spacing w:line="276" w:lineRule="auto"/>
        <w:jc w:val="both"/>
        <w:rPr>
          <w:rFonts w:ascii="Times New Roman" w:eastAsiaTheme="minorEastAsia" w:hAnsi="Times New Roman" w:cs="Times New Roman"/>
          <w:sz w:val="24"/>
          <w:szCs w:val="24"/>
          <w:lang w:val="en-GB"/>
        </w:rPr>
      </w:pPr>
      <w:r w:rsidRPr="006A013F">
        <w:rPr>
          <w:rFonts w:ascii="Times New Roman" w:eastAsiaTheme="minorEastAsia" w:hAnsi="Times New Roman" w:cs="Times New Roman"/>
          <w:sz w:val="24"/>
          <w:szCs w:val="24"/>
          <w:lang w:val="en-GB"/>
        </w:rPr>
        <w:t xml:space="preserve">  The expected FDI profitability index is given by the expe</w:t>
      </w:r>
      <w:r>
        <w:rPr>
          <w:rFonts w:ascii="Times New Roman" w:eastAsiaTheme="minorEastAsia" w:hAnsi="Times New Roman" w:cs="Times New Roman"/>
          <w:sz w:val="24"/>
          <w:szCs w:val="24"/>
          <w:lang w:val="en-GB"/>
        </w:rPr>
        <w:t xml:space="preserve">cted FDI implicit profitability (the expected dividends paid to the rest of the world as a share </w:t>
      </w:r>
      <w:r w:rsidR="00CB7C20">
        <w:rPr>
          <w:rFonts w:ascii="Times New Roman" w:eastAsiaTheme="minorEastAsia" w:hAnsi="Times New Roman" w:cs="Times New Roman"/>
          <w:sz w:val="24"/>
          <w:szCs w:val="24"/>
          <w:lang w:val="en-GB"/>
        </w:rPr>
        <w:t>the stock of equities owned by the rest of the world</w:t>
      </w:r>
      <w:r>
        <w:rPr>
          <w:rFonts w:ascii="Times New Roman" w:eastAsiaTheme="minorEastAsia" w:hAnsi="Times New Roman" w:cs="Times New Roman"/>
          <w:sz w:val="24"/>
          <w:szCs w:val="24"/>
          <w:lang w:val="en-GB"/>
        </w:rPr>
        <w:t xml:space="preserve">) weighted by the country risk and the expected movements in nominal exchange rate. On the other hand, the expected foreign yield is taken from Yilmaz </w:t>
      </w:r>
      <w:r w:rsidR="00A773C8">
        <w:rPr>
          <w:rFonts w:ascii="Times New Roman" w:eastAsiaTheme="minorEastAsia" w:hAnsi="Times New Roman" w:cs="Times New Roman"/>
          <w:sz w:val="24"/>
          <w:szCs w:val="24"/>
          <w:lang w:val="en-GB"/>
        </w:rPr>
        <w:t xml:space="preserve">&amp; Godin </w:t>
      </w:r>
      <w:r>
        <w:rPr>
          <w:rFonts w:ascii="Times New Roman" w:eastAsiaTheme="minorEastAsia" w:hAnsi="Times New Roman" w:cs="Times New Roman"/>
          <w:sz w:val="24"/>
          <w:szCs w:val="24"/>
          <w:lang w:val="en-GB"/>
        </w:rPr>
        <w:t>(20</w:t>
      </w:r>
      <w:r w:rsidR="00A71046">
        <w:rPr>
          <w:rFonts w:ascii="Times New Roman" w:eastAsiaTheme="minorEastAsia" w:hAnsi="Times New Roman" w:cs="Times New Roman"/>
          <w:sz w:val="24"/>
          <w:szCs w:val="24"/>
          <w:lang w:val="en-GB"/>
        </w:rPr>
        <w:t>20a</w:t>
      </w:r>
      <w:r>
        <w:rPr>
          <w:rFonts w:ascii="Times New Roman" w:eastAsiaTheme="minorEastAsia" w:hAnsi="Times New Roman" w:cs="Times New Roman"/>
          <w:sz w:val="24"/>
          <w:szCs w:val="24"/>
          <w:lang w:val="en-GB"/>
        </w:rPr>
        <w:t xml:space="preserve">) 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G</m:t>
            </m:r>
          </m:sub>
          <m:sup>
            <m:r>
              <w:rPr>
                <w:rFonts w:ascii="Cambria Math" w:eastAsiaTheme="minorEastAsia" w:hAnsi="Cambria Math" w:cs="Times New Roman"/>
                <w:sz w:val="24"/>
                <w:szCs w:val="24"/>
              </w:rPr>
              <m:t>W</m:t>
            </m:r>
          </m:sup>
        </m:sSubSup>
      </m:oMath>
      <w:r w:rsidRPr="006A013F">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is the riskless interest rate on foreign bonds. </w:t>
      </w:r>
    </w:p>
    <w:p w14:paraId="6201C709" w14:textId="4EB257BD" w:rsidR="006A013F" w:rsidRPr="006A013F" w:rsidRDefault="0061404D" w:rsidP="006A013F">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r w:rsidR="00F76C96">
        <w:rPr>
          <w:rFonts w:ascii="Times New Roman" w:eastAsiaTheme="minorEastAsia" w:hAnsi="Times New Roman" w:cs="Times New Roman"/>
          <w:sz w:val="24"/>
          <w:szCs w:val="24"/>
          <w:lang w:val="en-GB"/>
        </w:rPr>
        <w:t xml:space="preserve">The idea behind this arbitrage formulation is to capture the effects on international liquidity conditions and exchange rate expectations on FDI inflows to the domestic economy, while the FDI implicit profitability is a good proxy of the incentives to bring capital to Colombia because in times of high FDI inflows, </w:t>
      </w:r>
      <w:r w:rsidR="00F76C96" w:rsidRPr="00F76C96">
        <w:rPr>
          <w:rFonts w:ascii="Times New Roman" w:eastAsiaTheme="minorEastAsia" w:hAnsi="Times New Roman" w:cs="Times New Roman"/>
          <w:sz w:val="24"/>
          <w:szCs w:val="24"/>
          <w:lang w:val="en-GB"/>
        </w:rPr>
        <w:t>this indicator is usually higher than other international benchmark rates such as Libor and Prime</w:t>
      </w:r>
      <w:r w:rsidR="00F76C96">
        <w:rPr>
          <w:rFonts w:ascii="Times New Roman" w:eastAsiaTheme="minorEastAsia" w:hAnsi="Times New Roman" w:cs="Times New Roman"/>
          <w:sz w:val="24"/>
          <w:szCs w:val="24"/>
          <w:lang w:val="en-GB"/>
        </w:rPr>
        <w:t xml:space="preserve"> </w:t>
      </w:r>
      <w:r w:rsidR="00CB7C20">
        <w:rPr>
          <w:rFonts w:ascii="Times New Roman" w:eastAsiaTheme="minorEastAsia" w:hAnsi="Times New Roman" w:cs="Times New Roman"/>
          <w:sz w:val="24"/>
          <w:szCs w:val="24"/>
          <w:lang w:val="en-GB"/>
        </w:rPr>
        <w:t xml:space="preserve"> </w:t>
      </w:r>
      <w:r w:rsidR="00CB7C20">
        <w:rPr>
          <w:rFonts w:ascii="Times New Roman" w:hAnsi="Times New Roman" w:cs="Times New Roman"/>
          <w:sz w:val="24"/>
          <w:szCs w:val="24"/>
          <w:lang w:val="en-GB"/>
        </w:rPr>
        <w:t>(Garavito, Iregui &amp; Ramirez, 2014)</w:t>
      </w:r>
    </w:p>
    <w:p w14:paraId="145AD994" w14:textId="5D518F91" w:rsidR="003A5189" w:rsidRPr="006A013F" w:rsidRDefault="00707B5A" w:rsidP="001D6352">
      <w:pPr>
        <w:pStyle w:val="Prrafodelista"/>
        <w:spacing w:line="360" w:lineRule="auto"/>
        <w:ind w:left="360"/>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FDI</m:t>
              </m:r>
            </m:sub>
            <m:sup>
              <m:r>
                <w:rPr>
                  <w:rFonts w:ascii="Cambria Math" w:eastAsiaTheme="minorEastAsia" w:hAnsi="Cambria Math" w:cs="Times New Roman"/>
                  <w:sz w:val="24"/>
                  <w:szCs w:val="24"/>
                </w:rPr>
                <m:t>e</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RoW,e</m:t>
                          </m:r>
                        </m:sup>
                      </m:sSup>
                    </m:num>
                    <m:den>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RoW</m:t>
                          </m:r>
                        </m:sup>
                      </m:sSup>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 rsk</m:t>
                  </m:r>
                </m:e>
              </m:d>
            </m:num>
            <m:den>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N,e</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p>
                          <m:r>
                            <w:rPr>
                              <w:rFonts w:ascii="Cambria Math" w:eastAsiaTheme="minorEastAsia" w:hAnsi="Cambria Math" w:cs="Times New Roman"/>
                              <w:sz w:val="24"/>
                              <w:szCs w:val="24"/>
                            </w:rPr>
                            <m:t>N,e</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den>
                  </m:f>
                </m:e>
              </m:d>
            </m:den>
          </m:f>
          <m:r>
            <w:rPr>
              <w:rFonts w:ascii="Cambria Math" w:eastAsiaTheme="minorEastAsia" w:hAnsi="Cambria Math" w:cs="Times New Roman"/>
              <w:sz w:val="24"/>
              <w:szCs w:val="24"/>
            </w:rPr>
            <m:t xml:space="preserve">   (7)</m:t>
          </m:r>
        </m:oMath>
      </m:oMathPara>
    </w:p>
    <w:p w14:paraId="3C72B208" w14:textId="750DDFDE" w:rsidR="00CB7C20" w:rsidRPr="00CB7C20" w:rsidRDefault="00707B5A" w:rsidP="001D6352">
      <w:pPr>
        <w:spacing w:line="360" w:lineRule="auto"/>
        <w:jc w:val="cente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W,e</m:t>
              </m:r>
            </m:sup>
          </m:sSup>
          <m:r>
            <w:rPr>
              <w:rFonts w:ascii="Cambria Math" w:eastAsiaTheme="minorEastAsia" w:hAnsi="Cambria Math" w:cs="Times New Roman"/>
              <w:sz w:val="24"/>
              <w:szCs w:val="24"/>
            </w:rPr>
            <m:t>=1+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G</m:t>
              </m:r>
            </m:sub>
            <m:sup>
              <m:r>
                <w:rPr>
                  <w:rFonts w:ascii="Cambria Math" w:eastAsiaTheme="minorEastAsia" w:hAnsi="Cambria Math" w:cs="Times New Roman"/>
                  <w:sz w:val="24"/>
                  <w:szCs w:val="24"/>
                </w:rPr>
                <m:t>W</m:t>
              </m:r>
            </m:sup>
          </m:sSubSup>
          <m:r>
            <w:rPr>
              <w:rFonts w:ascii="Cambria Math" w:eastAsiaTheme="minorEastAsia" w:hAnsi="Cambria Math" w:cs="Times New Roman"/>
              <w:sz w:val="24"/>
              <w:szCs w:val="24"/>
            </w:rPr>
            <m:t xml:space="preserve">     (8)</m:t>
          </m:r>
        </m:oMath>
      </m:oMathPara>
    </w:p>
    <w:p w14:paraId="3052460E" w14:textId="09B4AEFD" w:rsidR="00CB7C20" w:rsidRPr="00AE7EC4" w:rsidRDefault="00CB7C20" w:rsidP="00AE7EC4">
      <w:pPr>
        <w:spacing w:line="276" w:lineRule="auto"/>
        <w:jc w:val="both"/>
        <w:rPr>
          <w:rFonts w:ascii="Times New Roman" w:eastAsiaTheme="minorEastAsia" w:hAnsi="Times New Roman" w:cs="Times New Roman"/>
          <w:sz w:val="24"/>
          <w:szCs w:val="24"/>
          <w:lang w:val="en-GB"/>
        </w:rPr>
      </w:pPr>
      <w:r w:rsidRPr="00CB7C20">
        <w:rPr>
          <w:rFonts w:ascii="Times New Roman" w:eastAsiaTheme="minorEastAsia" w:hAnsi="Times New Roman" w:cs="Times New Roman"/>
          <w:sz w:val="24"/>
          <w:szCs w:val="24"/>
          <w:lang w:val="en-GB"/>
        </w:rPr>
        <w:t xml:space="preserve">  </w:t>
      </w:r>
      <w:r w:rsidR="00AE7EC4">
        <w:rPr>
          <w:rFonts w:ascii="Times New Roman" w:eastAsiaTheme="minorEastAsia" w:hAnsi="Times New Roman" w:cs="Times New Roman"/>
          <w:sz w:val="24"/>
          <w:szCs w:val="24"/>
          <w:lang w:val="en-GB"/>
        </w:rPr>
        <w:t xml:space="preserve"> </w:t>
      </w:r>
      <w:r w:rsidRPr="00CB7C20">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Greenfield</w:t>
      </w:r>
      <w:r w:rsidR="003D5EC5">
        <w:rPr>
          <w:rFonts w:ascii="Times New Roman" w:eastAsiaTheme="minorEastAsia" w:hAnsi="Times New Roman" w:cs="Times New Roman"/>
          <w:sz w:val="24"/>
          <w:szCs w:val="24"/>
          <w:lang w:val="en-GB"/>
        </w:rPr>
        <w:t xml:space="preserve"> FDI</w:t>
      </w:r>
      <w:r>
        <w:rPr>
          <w:rFonts w:ascii="Times New Roman" w:eastAsiaTheme="minorEastAsia" w:hAnsi="Times New Roman" w:cs="Times New Roman"/>
          <w:sz w:val="24"/>
          <w:szCs w:val="24"/>
          <w:lang w:val="en-GB"/>
        </w:rPr>
        <w:t xml:space="preserve"> is a share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lang w:val="en-GB"/>
        </w:rPr>
        <w:t xml:space="preserve"> of total FDI, which is determined – like the investment decisions of the firms – by the</w:t>
      </w:r>
      <w:r w:rsidR="00AE7EC4">
        <w:rPr>
          <w:rFonts w:ascii="Times New Roman" w:eastAsiaTheme="minorEastAsia" w:hAnsi="Times New Roman" w:cs="Times New Roman"/>
          <w:sz w:val="24"/>
          <w:szCs w:val="24"/>
          <w:lang w:val="en-GB"/>
        </w:rPr>
        <w:t xml:space="preserve"> real</w:t>
      </w:r>
      <w:r>
        <w:rPr>
          <w:rFonts w:ascii="Times New Roman" w:eastAsiaTheme="minorEastAsia" w:hAnsi="Times New Roman" w:cs="Times New Roman"/>
          <w:sz w:val="24"/>
          <w:szCs w:val="24"/>
          <w:lang w:val="en-GB"/>
        </w:rPr>
        <w:t xml:space="preserve"> expected </w:t>
      </w:r>
      <w:r w:rsidR="00AE7EC4">
        <w:rPr>
          <w:rFonts w:ascii="Times New Roman" w:eastAsiaTheme="minorEastAsia" w:hAnsi="Times New Roman" w:cs="Times New Roman"/>
          <w:sz w:val="24"/>
          <w:szCs w:val="24"/>
          <w:lang w:val="en-GB"/>
        </w:rPr>
        <w:t xml:space="preserve">return of the capital stock weighted by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GB"/>
              </w:rPr>
              <m:t>1-</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2</m:t>
                </m:r>
              </m:sub>
            </m:sSub>
          </m:e>
        </m:d>
      </m:oMath>
      <w:r w:rsidR="00AE7EC4" w:rsidRPr="00AE7EC4">
        <w:rPr>
          <w:rFonts w:ascii="Times New Roman" w:eastAsiaTheme="minorEastAsia" w:hAnsi="Times New Roman" w:cs="Times New Roman"/>
          <w:sz w:val="24"/>
          <w:szCs w:val="24"/>
          <w:lang w:val="en-GB"/>
        </w:rPr>
        <w:t>,</w:t>
      </w:r>
      <w:r w:rsidR="00AE7EC4">
        <w:rPr>
          <w:rFonts w:ascii="Times New Roman" w:eastAsiaTheme="minorEastAsia" w:hAnsi="Times New Roman" w:cs="Times New Roman"/>
          <w:sz w:val="24"/>
          <w:szCs w:val="24"/>
          <w:lang w:val="en-GB"/>
        </w:rPr>
        <w:t xml:space="preserve"> in order to capture  that </w:t>
      </w:r>
      <w:r w:rsidR="00707B5A">
        <w:rPr>
          <w:rFonts w:ascii="Times New Roman" w:eastAsiaTheme="minorEastAsia" w:hAnsi="Times New Roman" w:cs="Times New Roman"/>
          <w:sz w:val="24"/>
          <w:szCs w:val="24"/>
          <w:lang w:val="en-GB"/>
        </w:rPr>
        <w:t>G</w:t>
      </w:r>
      <w:r w:rsidR="00AE7EC4">
        <w:rPr>
          <w:rFonts w:ascii="Times New Roman" w:eastAsiaTheme="minorEastAsia" w:hAnsi="Times New Roman" w:cs="Times New Roman"/>
          <w:sz w:val="24"/>
          <w:szCs w:val="24"/>
          <w:lang w:val="en-GB"/>
        </w:rPr>
        <w:t xml:space="preserve">reenfield investment is riskier than </w:t>
      </w:r>
      <w:r w:rsidR="003D5EC5">
        <w:rPr>
          <w:rFonts w:ascii="Times New Roman" w:eastAsiaTheme="minorEastAsia" w:hAnsi="Times New Roman" w:cs="Times New Roman"/>
          <w:sz w:val="24"/>
          <w:szCs w:val="24"/>
          <w:lang w:val="en-GB"/>
        </w:rPr>
        <w:t>N</w:t>
      </w:r>
      <w:r w:rsidR="00AE7EC4">
        <w:rPr>
          <w:rFonts w:ascii="Times New Roman" w:eastAsiaTheme="minorEastAsia" w:hAnsi="Times New Roman" w:cs="Times New Roman"/>
          <w:sz w:val="24"/>
          <w:szCs w:val="24"/>
          <w:lang w:val="en-GB"/>
        </w:rPr>
        <w:t xml:space="preserve">on – </w:t>
      </w:r>
      <w:r w:rsidR="003D5EC5">
        <w:rPr>
          <w:rFonts w:ascii="Times New Roman" w:eastAsiaTheme="minorEastAsia" w:hAnsi="Times New Roman" w:cs="Times New Roman"/>
          <w:sz w:val="24"/>
          <w:szCs w:val="24"/>
          <w:lang w:val="en-GB"/>
        </w:rPr>
        <w:t>G</w:t>
      </w:r>
      <w:r w:rsidR="00AE7EC4">
        <w:rPr>
          <w:rFonts w:ascii="Times New Roman" w:eastAsiaTheme="minorEastAsia" w:hAnsi="Times New Roman" w:cs="Times New Roman"/>
          <w:sz w:val="24"/>
          <w:szCs w:val="24"/>
          <w:lang w:val="en-GB"/>
        </w:rPr>
        <w:t>reenfield investment (Valdecantos,</w:t>
      </w:r>
      <w:r w:rsidR="0061404D">
        <w:rPr>
          <w:rFonts w:ascii="Times New Roman" w:eastAsiaTheme="minorEastAsia" w:hAnsi="Times New Roman" w:cs="Times New Roman"/>
          <w:sz w:val="24"/>
          <w:szCs w:val="24"/>
          <w:lang w:val="en-GB"/>
        </w:rPr>
        <w:t xml:space="preserve"> 2016</w:t>
      </w:r>
      <w:r w:rsidR="00AE7EC4">
        <w:rPr>
          <w:rFonts w:ascii="Times New Roman" w:eastAsiaTheme="minorEastAsia" w:hAnsi="Times New Roman" w:cs="Times New Roman"/>
          <w:sz w:val="24"/>
          <w:szCs w:val="24"/>
          <w:lang w:val="en-GB"/>
        </w:rPr>
        <w:t xml:space="preserve">). Consequently, to increase the ratio of greenfield to total FDI there must be a high expected return rate as the risk parameter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2</m:t>
            </m:r>
          </m:sub>
        </m:sSub>
      </m:oMath>
      <w:r w:rsidR="00AE7EC4">
        <w:rPr>
          <w:rFonts w:ascii="Times New Roman" w:eastAsiaTheme="minorEastAsia" w:hAnsi="Times New Roman" w:cs="Times New Roman"/>
          <w:sz w:val="24"/>
          <w:szCs w:val="24"/>
          <w:lang w:val="en-GB"/>
        </w:rPr>
        <w:t xml:space="preserve"> is higher.</w:t>
      </w:r>
    </w:p>
    <w:p w14:paraId="56A84C30" w14:textId="7822FC28" w:rsidR="003A5189" w:rsidRDefault="003A5189" w:rsidP="001D6352">
      <w:pPr>
        <w:pStyle w:val="Prrafodelista"/>
        <w:spacing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∙FDI       (9)</m:t>
          </m:r>
        </m:oMath>
      </m:oMathPara>
    </w:p>
    <w:p w14:paraId="0731F477" w14:textId="541B8A02" w:rsidR="00AE7EC4" w:rsidRPr="00AE7EC4" w:rsidRDefault="00707B5A" w:rsidP="001D6352">
      <w:pPr>
        <w:pStyle w:val="Prrafodelista"/>
        <w:spacing w:line="360" w:lineRule="auto"/>
        <w:ind w:left="360"/>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1</m:t>
                  </m:r>
                </m:sub>
              </m:sSub>
              <m:r>
                <w:rPr>
                  <w:rFonts w:ascii="Cambria Math" w:hAnsi="Cambria Math" w:cs="Times New Roman"/>
                  <w:sz w:val="24"/>
                  <w:szCs w:val="24"/>
                  <w:lang w:val="en-GB"/>
                </w:rPr>
                <m:t>⋅</m:t>
              </m:r>
              <m:d>
                <m:dPr>
                  <m:ctrlPr>
                    <w:rPr>
                      <w:rFonts w:ascii="Cambria Math" w:hAnsi="Cambria Math" w:cs="Times New Roman"/>
                      <w:i/>
                      <w:sz w:val="24"/>
                      <w:szCs w:val="24"/>
                      <w:lang w:val="en-GB"/>
                    </w:rPr>
                  </m:ctrlPr>
                </m:dPr>
                <m:e>
                  <m:d>
                    <m:dPr>
                      <m:ctrlPr>
                        <w:rPr>
                          <w:rFonts w:ascii="Cambria Math" w:hAnsi="Cambria Math" w:cs="Times New Roman"/>
                          <w:i/>
                          <w:sz w:val="24"/>
                          <w:szCs w:val="24"/>
                          <w:lang w:val="en-GB"/>
                        </w:rPr>
                      </m:ctrlPr>
                    </m:d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F</m:t>
                          </m:r>
                        </m:sub>
                        <m:sup>
                          <m:r>
                            <w:rPr>
                              <w:rFonts w:ascii="Cambria Math" w:hAnsi="Cambria Math" w:cs="Times New Roman"/>
                              <w:sz w:val="24"/>
                              <w:szCs w:val="24"/>
                              <w:lang w:val="en-GB"/>
                            </w:rPr>
                            <m:t>e</m:t>
                          </m:r>
                        </m:sup>
                      </m:sSubSup>
                      <m:r>
                        <w:rPr>
                          <w:rFonts w:ascii="Cambria Math" w:hAnsi="Cambria Math" w:cs="Times New Roman"/>
                          <w:sz w:val="24"/>
                          <w:szCs w:val="24"/>
                          <w:lang w:val="en-GB"/>
                        </w:rPr>
                        <m:t xml:space="preserve">- </m:t>
                      </m:r>
                      <m:f>
                        <m:fPr>
                          <m:ctrlPr>
                            <w:rPr>
                              <w:rFonts w:ascii="Cambria Math" w:hAnsi="Cambria Math" w:cs="Times New Roman"/>
                              <w:i/>
                              <w:sz w:val="24"/>
                              <w:szCs w:val="24"/>
                              <w:lang w:val="en-GB"/>
                            </w:rPr>
                          </m:ctrlPr>
                        </m:fPr>
                        <m:num>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p</m:t>
                              </m:r>
                            </m:e>
                          </m:acc>
                        </m:num>
                        <m:den>
                          <m:r>
                            <w:rPr>
                              <w:rFonts w:ascii="Cambria Math" w:hAnsi="Cambria Math" w:cs="Times New Roman"/>
                              <w:sz w:val="24"/>
                              <w:szCs w:val="24"/>
                              <w:lang w:val="en-GB"/>
                            </w:rPr>
                            <m:t>p</m:t>
                          </m:r>
                        </m:den>
                      </m:f>
                      <m:r>
                        <w:rPr>
                          <w:rFonts w:ascii="Cambria Math" w:hAnsi="Cambria Math" w:cs="Times New Roman"/>
                          <w:sz w:val="24"/>
                          <w:szCs w:val="24"/>
                          <w:lang w:val="en-GB"/>
                        </w:rPr>
                        <m:t xml:space="preserve"> </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2</m:t>
                          </m:r>
                        </m:sub>
                      </m:sSub>
                    </m:e>
                  </m:d>
                </m:e>
              </m:d>
            </m:e>
          </m:d>
          <m:r>
            <w:rPr>
              <w:rFonts w:ascii="Cambria Math" w:eastAsiaTheme="minorEastAsia" w:hAnsi="Cambria Math" w:cs="Times New Roman"/>
              <w:sz w:val="24"/>
              <w:szCs w:val="24"/>
            </w:rPr>
            <m:t xml:space="preserve">     (10)</m:t>
          </m:r>
        </m:oMath>
      </m:oMathPara>
    </w:p>
    <w:p w14:paraId="3F8A644A" w14:textId="4A8561CA" w:rsidR="00AE7EC4" w:rsidRPr="001A1436" w:rsidRDefault="001A1436" w:rsidP="001A1436">
      <w:pPr>
        <w:spacing w:line="276" w:lineRule="auto"/>
        <w:jc w:val="both"/>
        <w:rPr>
          <w:rFonts w:ascii="Times New Roman" w:eastAsiaTheme="minorEastAsia" w:hAnsi="Times New Roman" w:cs="Times New Roman"/>
          <w:sz w:val="24"/>
          <w:szCs w:val="24"/>
          <w:lang w:val="en-GB"/>
        </w:rPr>
      </w:pPr>
      <w:r w:rsidRPr="001A1436">
        <w:rPr>
          <w:rFonts w:ascii="Times New Roman" w:eastAsiaTheme="minorEastAsia" w:hAnsi="Times New Roman" w:cs="Times New Roman"/>
          <w:sz w:val="24"/>
          <w:szCs w:val="24"/>
          <w:lang w:val="en-GB"/>
        </w:rPr>
        <w:t xml:space="preserve">   Non – </w:t>
      </w:r>
      <w:r w:rsidR="003D5EC5">
        <w:rPr>
          <w:rFonts w:ascii="Times New Roman" w:eastAsiaTheme="minorEastAsia" w:hAnsi="Times New Roman" w:cs="Times New Roman"/>
          <w:sz w:val="24"/>
          <w:szCs w:val="24"/>
          <w:lang w:val="en-GB"/>
        </w:rPr>
        <w:t>G</w:t>
      </w:r>
      <w:r w:rsidRPr="001A1436">
        <w:rPr>
          <w:rFonts w:ascii="Times New Roman" w:eastAsiaTheme="minorEastAsia" w:hAnsi="Times New Roman" w:cs="Times New Roman"/>
          <w:sz w:val="24"/>
          <w:szCs w:val="24"/>
          <w:lang w:val="en-GB"/>
        </w:rPr>
        <w:t>reenfield FDI is a</w:t>
      </w:r>
      <w:r>
        <w:rPr>
          <w:rFonts w:ascii="Times New Roman" w:eastAsiaTheme="minorEastAsia" w:hAnsi="Times New Roman" w:cs="Times New Roman"/>
          <w:sz w:val="24"/>
          <w:szCs w:val="24"/>
          <w:lang w:val="en-GB"/>
        </w:rPr>
        <w:t xml:space="preserve"> residual once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oMath>
      <w:r w:rsidRPr="001A1436">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is determined. However, it is important to analyse how is the allocation of this type of FDI between firms and banks. The dynamic behaviour of the fraction assigned to the firms depends positively on the</w:t>
      </w:r>
      <w:r w:rsidR="001D6352">
        <w:rPr>
          <w:rFonts w:ascii="Times New Roman" w:eastAsiaTheme="minorEastAsia" w:hAnsi="Times New Roman" w:cs="Times New Roman"/>
          <w:sz w:val="24"/>
          <w:szCs w:val="24"/>
          <w:lang w:val="en-GB"/>
        </w:rPr>
        <w:t xml:space="preserve"> gap</w:t>
      </w:r>
      <w:r>
        <w:rPr>
          <w:rFonts w:ascii="Times New Roman" w:eastAsiaTheme="minorEastAsia" w:hAnsi="Times New Roman" w:cs="Times New Roman"/>
          <w:sz w:val="24"/>
          <w:szCs w:val="24"/>
          <w:lang w:val="en-GB"/>
        </w:rPr>
        <w:t xml:space="preserve"> between the </w:t>
      </w:r>
      <w:r w:rsidR="001D6352">
        <w:rPr>
          <w:rFonts w:ascii="Times New Roman" w:eastAsiaTheme="minorEastAsia" w:hAnsi="Times New Roman" w:cs="Times New Roman"/>
          <w:sz w:val="24"/>
          <w:szCs w:val="24"/>
          <w:lang w:val="en-GB"/>
        </w:rPr>
        <w:t xml:space="preserve">firms </w:t>
      </w:r>
      <w:r>
        <w:rPr>
          <w:rFonts w:ascii="Times New Roman" w:eastAsiaTheme="minorEastAsia" w:hAnsi="Times New Roman" w:cs="Times New Roman"/>
          <w:sz w:val="24"/>
          <w:szCs w:val="24"/>
          <w:lang w:val="en-GB"/>
        </w:rPr>
        <w:t>FDI implicit profitability</w:t>
      </w:r>
      <w:r w:rsidR="001D6352">
        <w:rPr>
          <w:rFonts w:ascii="Times New Roman" w:eastAsiaTheme="minorEastAsia" w:hAnsi="Times New Roman" w:cs="Times New Roman"/>
          <w:sz w:val="24"/>
          <w:szCs w:val="24"/>
          <w:lang w:val="en-GB"/>
        </w:rPr>
        <w:t xml:space="preserve"> and the banks FDI implicit profitability. </w:t>
      </w:r>
    </w:p>
    <w:p w14:paraId="218C1708" w14:textId="647619D4" w:rsidR="004D2A53" w:rsidRDefault="004D2A53" w:rsidP="00BC5744">
      <w:pPr>
        <w:pStyle w:val="Prrafodelista"/>
        <w:spacing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e>
          </m:d>
          <m:r>
            <w:rPr>
              <w:rFonts w:ascii="Cambria Math" w:eastAsiaTheme="minorEastAsia" w:hAnsi="Cambria Math" w:cs="Times New Roman"/>
              <w:sz w:val="24"/>
              <w:szCs w:val="24"/>
            </w:rPr>
            <m:t xml:space="preserve"> ∙FDI    (11)</m:t>
          </m:r>
        </m:oMath>
      </m:oMathPara>
    </w:p>
    <w:p w14:paraId="7BF98129" w14:textId="6AF497F9" w:rsidR="004D2A53" w:rsidRPr="003D5EC5" w:rsidRDefault="00707B5A" w:rsidP="00BC5744">
      <w:pPr>
        <w:spacing w:line="360" w:lineRule="auto"/>
        <w:ind w:left="360"/>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num>
                    <m:den>
                      <m:r>
                        <w:rPr>
                          <w:rFonts w:ascii="Cambria Math" w:eastAsiaTheme="minorEastAsia" w:hAnsi="Cambria Math" w:cs="Times New Roman"/>
                          <w:sz w:val="24"/>
                          <w:szCs w:val="24"/>
                        </w:rPr>
                        <m:t>E</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den>
                  </m:f>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num>
                    <m:den>
                      <m:r>
                        <w:rPr>
                          <w:rFonts w:ascii="Cambria Math" w:eastAsiaTheme="minorEastAsia" w:hAnsi="Cambria Math" w:cs="Times New Roman"/>
                          <w:sz w:val="24"/>
                          <w:szCs w:val="24"/>
                        </w:rPr>
                        <m:t>E</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den>
                  </m:f>
                </m:e>
              </m:d>
            </m:e>
          </m:d>
          <m:r>
            <w:rPr>
              <w:rFonts w:ascii="Cambria Math" w:eastAsiaTheme="minorEastAsia" w:hAnsi="Cambria Math" w:cs="Times New Roman"/>
              <w:sz w:val="24"/>
              <w:szCs w:val="24"/>
            </w:rPr>
            <m:t xml:space="preserve">   (12)</m:t>
          </m:r>
        </m:oMath>
      </m:oMathPara>
    </w:p>
    <w:p w14:paraId="5819B3FC" w14:textId="6E38DD72" w:rsidR="00DD6154" w:rsidRPr="00BC5744" w:rsidRDefault="00185BEF" w:rsidP="00BC5744">
      <w:pPr>
        <w:spacing w:line="276" w:lineRule="auto"/>
        <w:jc w:val="both"/>
        <w:rPr>
          <w:rFonts w:ascii="Times New Roman" w:eastAsiaTheme="minorEastAsia" w:hAnsi="Times New Roman" w:cs="Times New Roman"/>
          <w:sz w:val="24"/>
          <w:szCs w:val="24"/>
          <w:lang w:val="en-GB"/>
        </w:rPr>
      </w:pPr>
      <w:r w:rsidRPr="00DD6154">
        <w:rPr>
          <w:rFonts w:ascii="Times New Roman" w:eastAsiaTheme="minorEastAsia" w:hAnsi="Times New Roman" w:cs="Times New Roman"/>
          <w:sz w:val="24"/>
          <w:szCs w:val="24"/>
          <w:lang w:val="en-GB"/>
        </w:rPr>
        <w:t xml:space="preserve">   </w:t>
      </w:r>
      <w:r w:rsidR="00DD6154" w:rsidRPr="00DD6154">
        <w:rPr>
          <w:rFonts w:ascii="Times New Roman" w:eastAsiaTheme="minorEastAsia" w:hAnsi="Times New Roman" w:cs="Times New Roman"/>
          <w:sz w:val="24"/>
          <w:szCs w:val="24"/>
          <w:lang w:val="en-GB"/>
        </w:rPr>
        <w:t xml:space="preserve"> The financial counterpart of t</w:t>
      </w:r>
      <w:r w:rsidR="00DD6154">
        <w:rPr>
          <w:rFonts w:ascii="Times New Roman" w:eastAsiaTheme="minorEastAsia" w:hAnsi="Times New Roman" w:cs="Times New Roman"/>
          <w:sz w:val="24"/>
          <w:szCs w:val="24"/>
          <w:lang w:val="en-GB"/>
        </w:rPr>
        <w:t xml:space="preserve">hese FDI flows is given by the issuance of new equities by the firms and banks, which leads to private equity accumulation by the rest of the world as is presented in equation (13), even though FDI is expressed in other financial assets different to equities (IMF, 2009). </w:t>
      </w:r>
      <w:r w:rsidR="00BC5744">
        <w:rPr>
          <w:rFonts w:ascii="Times New Roman" w:eastAsiaTheme="minorEastAsia" w:hAnsi="Times New Roman" w:cs="Times New Roman"/>
          <w:sz w:val="24"/>
          <w:szCs w:val="24"/>
          <w:lang w:val="en-GB"/>
        </w:rPr>
        <w:t xml:space="preserve"> The accumulation of equities issued by the firms and the banks is presented in equations (14) and (15), respectively. </w:t>
      </w:r>
    </w:p>
    <w:p w14:paraId="548F8710" w14:textId="0E7895C3" w:rsidR="0003346F" w:rsidRPr="0032768C" w:rsidRDefault="00707B5A" w:rsidP="00BC5744">
      <w:pPr>
        <w:pStyle w:val="Prrafodelista"/>
        <w:spacing w:line="360" w:lineRule="auto"/>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 xml:space="preserve">   (13)</m:t>
          </m:r>
          <m:r>
            <w:rPr>
              <w:rFonts w:ascii="Cambria Math" w:eastAsiaTheme="minorEastAsia" w:hAnsi="Cambria Math" w:cs="Times New Roman"/>
              <w:sz w:val="24"/>
              <w:szCs w:val="24"/>
            </w:rPr>
            <m:t xml:space="preserve"> </m:t>
          </m:r>
        </m:oMath>
      </m:oMathPara>
    </w:p>
    <w:p w14:paraId="4A42FF9F" w14:textId="5CE77FA9" w:rsidR="00BC5744" w:rsidRDefault="00707B5A" w:rsidP="00BC5744">
      <w:pPr>
        <w:pStyle w:val="Prrafodelista"/>
        <w:spacing w:line="360" w:lineRule="auto"/>
        <w:ind w:left="360"/>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(14)</m:t>
        </m:r>
      </m:oMath>
      <w:r w:rsidR="0003346F" w:rsidRPr="0003346F">
        <w:rPr>
          <w:rFonts w:ascii="Times New Roman" w:eastAsiaTheme="minorEastAsia" w:hAnsi="Times New Roman" w:cs="Times New Roman"/>
          <w:sz w:val="24"/>
          <w:szCs w:val="24"/>
        </w:rPr>
        <w:t xml:space="preserve"> </w:t>
      </w:r>
    </w:p>
    <w:p w14:paraId="4A70B74B" w14:textId="493C1855" w:rsidR="0003346F" w:rsidRPr="00DD6154" w:rsidRDefault="00707B5A" w:rsidP="00BC5744">
      <w:pPr>
        <w:pStyle w:val="Prrafodelista"/>
        <w:spacing w:line="360" w:lineRule="auto"/>
        <w:ind w:left="360"/>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 xml:space="preserve"> ∙FD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(15)</m:t>
          </m:r>
        </m:oMath>
      </m:oMathPara>
    </w:p>
    <w:p w14:paraId="5401B086" w14:textId="2B662727" w:rsidR="00BC5744" w:rsidRDefault="00BC5744" w:rsidP="002C05AB">
      <w:pPr>
        <w:spacing w:line="240" w:lineRule="auto"/>
        <w:jc w:val="both"/>
        <w:rPr>
          <w:rFonts w:ascii="Times New Roman" w:eastAsiaTheme="minorEastAsia" w:hAnsi="Times New Roman" w:cs="Times New Roman"/>
          <w:sz w:val="24"/>
          <w:szCs w:val="24"/>
          <w:lang w:val="en-GB"/>
        </w:rPr>
      </w:pPr>
      <w:r w:rsidRPr="009514B9">
        <w:rPr>
          <w:rFonts w:ascii="Times New Roman" w:eastAsiaTheme="minorEastAsia" w:hAnsi="Times New Roman" w:cs="Times New Roman"/>
          <w:b/>
          <w:bCs/>
          <w:sz w:val="24"/>
          <w:szCs w:val="24"/>
          <w:lang w:val="en-GB"/>
        </w:rPr>
        <w:t xml:space="preserve">    </w:t>
      </w:r>
      <w:r w:rsidR="009514B9" w:rsidRPr="009514B9">
        <w:rPr>
          <w:rFonts w:ascii="Times New Roman" w:eastAsiaTheme="minorEastAsia" w:hAnsi="Times New Roman" w:cs="Times New Roman"/>
          <w:sz w:val="24"/>
          <w:szCs w:val="24"/>
          <w:lang w:val="en-GB"/>
        </w:rPr>
        <w:t>The dividends paid t</w:t>
      </w:r>
      <w:r w:rsidR="009514B9">
        <w:rPr>
          <w:rFonts w:ascii="Times New Roman" w:eastAsiaTheme="minorEastAsia" w:hAnsi="Times New Roman" w:cs="Times New Roman"/>
          <w:sz w:val="24"/>
          <w:szCs w:val="24"/>
          <w:lang w:val="en-GB"/>
        </w:rPr>
        <w:t xml:space="preserve">o the rest of the world are distributed </w:t>
      </w:r>
      <w:r w:rsidR="002C05AB">
        <w:rPr>
          <w:rFonts w:ascii="Times New Roman" w:eastAsiaTheme="minorEastAsia" w:hAnsi="Times New Roman" w:cs="Times New Roman"/>
          <w:sz w:val="24"/>
          <w:szCs w:val="24"/>
          <w:lang w:val="en-GB"/>
        </w:rPr>
        <w:t xml:space="preserve">considering </w:t>
      </w:r>
      <w:r w:rsidR="009514B9">
        <w:rPr>
          <w:rFonts w:ascii="Times New Roman" w:eastAsiaTheme="minorEastAsia" w:hAnsi="Times New Roman" w:cs="Times New Roman"/>
          <w:sz w:val="24"/>
          <w:szCs w:val="24"/>
          <w:lang w:val="en-GB"/>
        </w:rPr>
        <w:t xml:space="preserve">the ownership structure </w:t>
      </w:r>
      <w:r w:rsidR="002C05AB">
        <w:rPr>
          <w:rFonts w:ascii="Times New Roman" w:eastAsiaTheme="minorEastAsia" w:hAnsi="Times New Roman" w:cs="Times New Roman"/>
          <w:sz w:val="24"/>
          <w:szCs w:val="24"/>
          <w:lang w:val="en-GB"/>
        </w:rPr>
        <w:t xml:space="preserve">of firms and banks, that is, the stock of equities owned by the rest of the world as a share of total stock of equities in each sector. </w:t>
      </w:r>
    </w:p>
    <w:p w14:paraId="08F8C08A" w14:textId="7747AA4B" w:rsidR="00C1671E" w:rsidRPr="006B4CFD" w:rsidRDefault="006B4CFD" w:rsidP="002C05AB">
      <w:pPr>
        <w:spacing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Di</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num>
                <m:den>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F</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oMath>
      </m:oMathPara>
    </w:p>
    <w:p w14:paraId="135CF689" w14:textId="683A16CA" w:rsidR="006B4CFD" w:rsidRPr="006B4CFD" w:rsidRDefault="006B4CFD" w:rsidP="002C05AB">
      <w:pPr>
        <w:spacing w:line="240" w:lineRule="auto"/>
        <w:jc w:val="both"/>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rPr>
            <m:t>Di</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num>
                <m:den>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B</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(17)</m:t>
          </m:r>
          <m:r>
            <w:rPr>
              <w:rFonts w:ascii="Cambria Math" w:eastAsiaTheme="minorEastAsia" w:hAnsi="Cambria Math" w:cs="Times New Roman"/>
              <w:sz w:val="24"/>
              <w:szCs w:val="24"/>
            </w:rPr>
            <m:t xml:space="preserve"> </m:t>
          </m:r>
        </m:oMath>
      </m:oMathPara>
    </w:p>
    <w:p w14:paraId="10101261" w14:textId="16945807" w:rsidR="00A773C8" w:rsidRPr="009514B9" w:rsidRDefault="00A773C8" w:rsidP="00A51101">
      <w:pPr>
        <w:spacing w:line="480" w:lineRule="auto"/>
        <w:rPr>
          <w:rFonts w:ascii="Times New Roman" w:eastAsiaTheme="minorEastAsia" w:hAnsi="Times New Roman" w:cs="Times New Roman"/>
          <w:b/>
          <w:bCs/>
          <w:sz w:val="24"/>
          <w:szCs w:val="24"/>
          <w:lang w:val="en-GB"/>
        </w:rPr>
      </w:pPr>
      <w:r w:rsidRPr="009514B9">
        <w:rPr>
          <w:rFonts w:ascii="Times New Roman" w:eastAsiaTheme="minorEastAsia" w:hAnsi="Times New Roman" w:cs="Times New Roman"/>
          <w:b/>
          <w:bCs/>
          <w:sz w:val="24"/>
          <w:szCs w:val="24"/>
          <w:lang w:val="en-GB"/>
        </w:rPr>
        <w:t xml:space="preserve">References. </w:t>
      </w:r>
    </w:p>
    <w:p w14:paraId="23DC4CD9" w14:textId="09FAF2A9" w:rsidR="00A773C8" w:rsidRDefault="00A773C8" w:rsidP="00A773C8">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r w:rsidR="00A71046">
        <w:rPr>
          <w:rFonts w:ascii="Times New Roman" w:eastAsiaTheme="minorEastAsia" w:hAnsi="Times New Roman" w:cs="Times New Roman"/>
          <w:sz w:val="24"/>
          <w:szCs w:val="24"/>
          <w:lang w:val="en-GB"/>
        </w:rPr>
        <w:t xml:space="preserve"> </w:t>
      </w:r>
      <w:r w:rsidRPr="00A773C8">
        <w:rPr>
          <w:rFonts w:ascii="Times New Roman" w:eastAsiaTheme="minorEastAsia" w:hAnsi="Times New Roman" w:cs="Times New Roman"/>
          <w:sz w:val="24"/>
          <w:szCs w:val="24"/>
          <w:lang w:val="en-GB"/>
        </w:rPr>
        <w:t>Botta, A., Godin, A. &amp; Missaglia, M.</w:t>
      </w:r>
      <w:r w:rsidR="00A71046">
        <w:rPr>
          <w:rFonts w:ascii="Times New Roman" w:eastAsiaTheme="minorEastAsia" w:hAnsi="Times New Roman" w:cs="Times New Roman"/>
          <w:sz w:val="24"/>
          <w:szCs w:val="24"/>
          <w:lang w:val="en-GB"/>
        </w:rPr>
        <w:t xml:space="preserve"> (2016).</w:t>
      </w:r>
      <w:r w:rsidRPr="00A773C8">
        <w:rPr>
          <w:rFonts w:ascii="Times New Roman" w:eastAsiaTheme="minorEastAsia" w:hAnsi="Times New Roman" w:cs="Times New Roman"/>
          <w:sz w:val="24"/>
          <w:szCs w:val="24"/>
          <w:lang w:val="en-GB"/>
        </w:rPr>
        <w:t xml:space="preserve"> Finance, foreign (direct) investment and dutch disease: the case of Colombia. </w:t>
      </w:r>
      <w:r w:rsidRPr="00A773C8">
        <w:rPr>
          <w:rFonts w:ascii="Times New Roman" w:eastAsiaTheme="minorEastAsia" w:hAnsi="Times New Roman" w:cs="Times New Roman"/>
          <w:i/>
          <w:iCs/>
          <w:sz w:val="24"/>
          <w:szCs w:val="24"/>
          <w:lang w:val="en-GB"/>
        </w:rPr>
        <w:t>Econ Polit</w:t>
      </w:r>
      <w:r w:rsidRPr="00A773C8">
        <w:rPr>
          <w:rFonts w:ascii="Times New Roman" w:eastAsiaTheme="minorEastAsia" w:hAnsi="Times New Roman" w:cs="Times New Roman"/>
          <w:sz w:val="24"/>
          <w:szCs w:val="24"/>
          <w:lang w:val="en-GB"/>
        </w:rPr>
        <w:t xml:space="preserve"> 33, 265–289 </w:t>
      </w:r>
      <w:hyperlink r:id="rId6" w:history="1">
        <w:r w:rsidR="00A71046" w:rsidRPr="008F1D49">
          <w:rPr>
            <w:rStyle w:val="Hipervnculo"/>
            <w:rFonts w:ascii="Times New Roman" w:eastAsiaTheme="minorEastAsia" w:hAnsi="Times New Roman" w:cs="Times New Roman"/>
            <w:sz w:val="24"/>
            <w:szCs w:val="24"/>
            <w:lang w:val="en-GB"/>
          </w:rPr>
          <w:t>https://doi.org/10.1007/s40888-016-030-6</w:t>
        </w:r>
      </w:hyperlink>
    </w:p>
    <w:p w14:paraId="7B3BF9A2" w14:textId="1A4ABCD2" w:rsidR="00481D70" w:rsidRDefault="00481D70" w:rsidP="00A773C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481D70">
        <w:rPr>
          <w:rFonts w:ascii="Times New Roman" w:eastAsiaTheme="minorEastAsia" w:hAnsi="Times New Roman" w:cs="Times New Roman"/>
          <w:sz w:val="24"/>
          <w:szCs w:val="24"/>
        </w:rPr>
        <w:t>Garavito</w:t>
      </w:r>
      <w:r>
        <w:rPr>
          <w:rFonts w:ascii="Times New Roman" w:eastAsiaTheme="minorEastAsia" w:hAnsi="Times New Roman" w:cs="Times New Roman"/>
          <w:sz w:val="24"/>
          <w:szCs w:val="24"/>
        </w:rPr>
        <w:t xml:space="preserve">, A., </w:t>
      </w:r>
      <w:r w:rsidRPr="00481D70">
        <w:rPr>
          <w:rFonts w:ascii="Times New Roman" w:eastAsiaTheme="minorEastAsia" w:hAnsi="Times New Roman" w:cs="Times New Roman"/>
          <w:sz w:val="24"/>
          <w:szCs w:val="24"/>
        </w:rPr>
        <w:t>Iregui</w:t>
      </w:r>
      <w:r>
        <w:rPr>
          <w:rFonts w:ascii="Times New Roman" w:eastAsiaTheme="minorEastAsia" w:hAnsi="Times New Roman" w:cs="Times New Roman"/>
          <w:sz w:val="24"/>
          <w:szCs w:val="24"/>
        </w:rPr>
        <w:t>, A.</w:t>
      </w:r>
      <w:r w:rsidRPr="00481D70">
        <w:rPr>
          <w:rFonts w:ascii="Times New Roman" w:eastAsiaTheme="minorEastAsia" w:hAnsi="Times New Roman" w:cs="Times New Roman"/>
          <w:sz w:val="24"/>
          <w:szCs w:val="24"/>
        </w:rPr>
        <w:t xml:space="preserve"> &amp; Ramírez,</w:t>
      </w:r>
      <w:r>
        <w:rPr>
          <w:rFonts w:ascii="Times New Roman" w:eastAsiaTheme="minorEastAsia" w:hAnsi="Times New Roman" w:cs="Times New Roman"/>
          <w:sz w:val="24"/>
          <w:szCs w:val="24"/>
        </w:rPr>
        <w:t xml:space="preserve"> M. (</w:t>
      </w:r>
      <w:r w:rsidRPr="00481D70">
        <w:rPr>
          <w:rFonts w:ascii="Times New Roman" w:eastAsiaTheme="minorEastAsia" w:hAnsi="Times New Roman" w:cs="Times New Roman"/>
          <w:sz w:val="24"/>
          <w:szCs w:val="24"/>
        </w:rPr>
        <w:t xml:space="preserve">2014). </w:t>
      </w:r>
      <w:hyperlink r:id="rId7" w:history="1">
        <w:r w:rsidRPr="00481D70">
          <w:rPr>
            <w:rStyle w:val="Hipervnculo"/>
            <w:rFonts w:ascii="Times New Roman" w:eastAsiaTheme="minorEastAsia" w:hAnsi="Times New Roman" w:cs="Times New Roman"/>
            <w:color w:val="auto"/>
            <w:sz w:val="24"/>
            <w:szCs w:val="24"/>
            <w:u w:val="none"/>
            <w:lang w:val="en-GB"/>
          </w:rPr>
          <w:t>An Empirical Examination of the Determinants of Foreign Direct Investment: A Firm-Level Analysis for the Colombian Economy</w:t>
        </w:r>
      </w:hyperlink>
      <w:r>
        <w:rPr>
          <w:rFonts w:ascii="Times New Roman" w:eastAsiaTheme="minorEastAsia" w:hAnsi="Times New Roman" w:cs="Times New Roman"/>
          <w:sz w:val="24"/>
          <w:szCs w:val="24"/>
          <w:lang w:val="en-GB"/>
        </w:rPr>
        <w:t xml:space="preserve">. </w:t>
      </w:r>
      <w:r w:rsidRPr="00481D70">
        <w:rPr>
          <w:rFonts w:ascii="Times New Roman" w:eastAsiaTheme="minorEastAsia" w:hAnsi="Times New Roman" w:cs="Times New Roman"/>
          <w:sz w:val="24"/>
          <w:szCs w:val="24"/>
        </w:rPr>
        <w:t>Revista de Economía del Rosario</w:t>
      </w:r>
      <w:r>
        <w:rPr>
          <w:rFonts w:ascii="Times New Roman" w:eastAsiaTheme="minorEastAsia" w:hAnsi="Times New Roman" w:cs="Times New Roman"/>
          <w:sz w:val="24"/>
          <w:szCs w:val="24"/>
        </w:rPr>
        <w:t>:</w:t>
      </w:r>
      <w:r w:rsidRPr="00481D70">
        <w:rPr>
          <w:rFonts w:ascii="Times New Roman" w:eastAsiaTheme="minorEastAsia" w:hAnsi="Times New Roman" w:cs="Times New Roman"/>
          <w:sz w:val="24"/>
          <w:szCs w:val="24"/>
        </w:rPr>
        <w:t xml:space="preserve"> </w:t>
      </w:r>
      <w:r w:rsidRPr="00481D70">
        <w:rPr>
          <w:rFonts w:ascii="Times New Roman" w:eastAsiaTheme="minorEastAsia" w:hAnsi="Times New Roman" w:cs="Times New Roman"/>
          <w:i/>
          <w:iCs/>
          <w:sz w:val="24"/>
          <w:szCs w:val="24"/>
        </w:rPr>
        <w:t xml:space="preserve">Universidad del Rosario. </w:t>
      </w:r>
      <w:r w:rsidRPr="00481D70">
        <w:rPr>
          <w:rFonts w:ascii="Times New Roman" w:eastAsiaTheme="minorEastAsia" w:hAnsi="Times New Roman" w:cs="Times New Roman"/>
          <w:sz w:val="24"/>
          <w:szCs w:val="24"/>
        </w:rPr>
        <w:t xml:space="preserve">Recovered from: </w:t>
      </w:r>
      <w:hyperlink r:id="rId8" w:history="1">
        <w:r w:rsidRPr="008F1D49">
          <w:rPr>
            <w:rStyle w:val="Hipervnculo"/>
            <w:rFonts w:ascii="Times New Roman" w:eastAsiaTheme="minorEastAsia" w:hAnsi="Times New Roman" w:cs="Times New Roman"/>
            <w:sz w:val="24"/>
            <w:szCs w:val="24"/>
          </w:rPr>
          <w:t>https://ideas.repec.org/a/col/000151/012881.html</w:t>
        </w:r>
      </w:hyperlink>
      <w:r>
        <w:rPr>
          <w:rFonts w:ascii="Times New Roman" w:eastAsiaTheme="minorEastAsia" w:hAnsi="Times New Roman" w:cs="Times New Roman"/>
          <w:sz w:val="24"/>
          <w:szCs w:val="24"/>
        </w:rPr>
        <w:t xml:space="preserve"> </w:t>
      </w:r>
      <w:r w:rsidRPr="00481D70">
        <w:rPr>
          <w:rFonts w:ascii="Times New Roman" w:eastAsiaTheme="minorEastAsia" w:hAnsi="Times New Roman" w:cs="Times New Roman"/>
          <w:sz w:val="24"/>
          <w:szCs w:val="24"/>
        </w:rPr>
        <w:t> </w:t>
      </w:r>
    </w:p>
    <w:p w14:paraId="3566D7CF" w14:textId="77777777" w:rsidR="00185BEF" w:rsidRDefault="00481D70" w:rsidP="00185BEF">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481D70">
        <w:rPr>
          <w:rFonts w:ascii="Times New Roman" w:eastAsiaTheme="minorEastAsia" w:hAnsi="Times New Roman" w:cs="Times New Roman"/>
          <w:sz w:val="24"/>
          <w:szCs w:val="24"/>
        </w:rPr>
        <w:t>Garavito</w:t>
      </w:r>
      <w:r>
        <w:rPr>
          <w:rFonts w:ascii="Times New Roman" w:eastAsiaTheme="minorEastAsia" w:hAnsi="Times New Roman" w:cs="Times New Roman"/>
          <w:sz w:val="24"/>
          <w:szCs w:val="24"/>
        </w:rPr>
        <w:t xml:space="preserve">, A., </w:t>
      </w:r>
      <w:r w:rsidRPr="00481D70">
        <w:rPr>
          <w:rFonts w:ascii="Times New Roman" w:eastAsiaTheme="minorEastAsia" w:hAnsi="Times New Roman" w:cs="Times New Roman"/>
          <w:sz w:val="24"/>
          <w:szCs w:val="24"/>
        </w:rPr>
        <w:t>Iregui</w:t>
      </w:r>
      <w:r>
        <w:rPr>
          <w:rFonts w:ascii="Times New Roman" w:eastAsiaTheme="minorEastAsia" w:hAnsi="Times New Roman" w:cs="Times New Roman"/>
          <w:sz w:val="24"/>
          <w:szCs w:val="24"/>
        </w:rPr>
        <w:t>, A.</w:t>
      </w:r>
      <w:r w:rsidRPr="00481D70">
        <w:rPr>
          <w:rFonts w:ascii="Times New Roman" w:eastAsiaTheme="minorEastAsia" w:hAnsi="Times New Roman" w:cs="Times New Roman"/>
          <w:sz w:val="24"/>
          <w:szCs w:val="24"/>
        </w:rPr>
        <w:t xml:space="preserve"> &amp; Ramírez,</w:t>
      </w:r>
      <w:r>
        <w:rPr>
          <w:rFonts w:ascii="Times New Roman" w:eastAsiaTheme="minorEastAsia" w:hAnsi="Times New Roman" w:cs="Times New Roman"/>
          <w:sz w:val="24"/>
          <w:szCs w:val="24"/>
        </w:rPr>
        <w:t xml:space="preserve"> M. (</w:t>
      </w:r>
      <w:r w:rsidRPr="00481D70">
        <w:rPr>
          <w:rFonts w:ascii="Times New Roman" w:eastAsiaTheme="minorEastAsia" w:hAnsi="Times New Roman" w:cs="Times New Roman"/>
          <w:sz w:val="24"/>
          <w:szCs w:val="24"/>
        </w:rPr>
        <w:t>201</w:t>
      </w:r>
      <w:r>
        <w:rPr>
          <w:rFonts w:ascii="Times New Roman" w:eastAsiaTheme="minorEastAsia" w:hAnsi="Times New Roman" w:cs="Times New Roman"/>
          <w:sz w:val="24"/>
          <w:szCs w:val="24"/>
        </w:rPr>
        <w:t>2</w:t>
      </w:r>
      <w:r w:rsidRPr="00481D7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Inversión Extranjera Directa en Colombia: Evolución reciente y marco normativo. Borradores de Economía: </w:t>
      </w:r>
      <w:r>
        <w:rPr>
          <w:rFonts w:ascii="Times New Roman" w:eastAsiaTheme="minorEastAsia" w:hAnsi="Times New Roman" w:cs="Times New Roman"/>
          <w:i/>
          <w:iCs/>
          <w:sz w:val="24"/>
          <w:szCs w:val="24"/>
        </w:rPr>
        <w:t xml:space="preserve">Banco de la República, 713. </w:t>
      </w:r>
      <w:r>
        <w:rPr>
          <w:rFonts w:ascii="Times New Roman" w:eastAsiaTheme="minorEastAsia" w:hAnsi="Times New Roman" w:cs="Times New Roman"/>
          <w:sz w:val="24"/>
          <w:szCs w:val="24"/>
        </w:rPr>
        <w:t xml:space="preserve">Recuperado de: </w:t>
      </w:r>
    </w:p>
    <w:p w14:paraId="082184C1" w14:textId="6930242D" w:rsidR="00DD6154" w:rsidRPr="00481D70" w:rsidRDefault="00DD6154" w:rsidP="00185BEF">
      <w:pPr>
        <w:spacing w:line="276" w:lineRule="auto"/>
        <w:jc w:val="both"/>
        <w:rPr>
          <w:rFonts w:ascii="Times New Roman" w:eastAsiaTheme="minorEastAsia" w:hAnsi="Times New Roman" w:cs="Times New Roman"/>
          <w:sz w:val="24"/>
          <w:szCs w:val="24"/>
        </w:rPr>
      </w:pPr>
      <w:hyperlink r:id="rId9" w:history="1">
        <w:r w:rsidRPr="008F1D49">
          <w:rPr>
            <w:rStyle w:val="Hipervnculo"/>
            <w:rFonts w:ascii="Times New Roman" w:eastAsiaTheme="minorEastAsia" w:hAnsi="Times New Roman" w:cs="Times New Roman"/>
            <w:sz w:val="24"/>
            <w:szCs w:val="24"/>
          </w:rPr>
          <w:t>https://www.banrep.gov.co/sites/default/files/publicaciones/archivos/be_713.pdf</w:t>
        </w:r>
      </w:hyperlink>
    </w:p>
    <w:p w14:paraId="61BF81A7" w14:textId="63343BE7" w:rsidR="00A71046" w:rsidRDefault="00A71046" w:rsidP="00A773C8">
      <w:pPr>
        <w:spacing w:line="276" w:lineRule="auto"/>
        <w:jc w:val="both"/>
        <w:rPr>
          <w:rFonts w:ascii="Times New Roman" w:eastAsiaTheme="minorEastAsia" w:hAnsi="Times New Roman" w:cs="Times New Roman"/>
          <w:sz w:val="24"/>
          <w:szCs w:val="24"/>
          <w:lang w:val="en-GB"/>
        </w:rPr>
      </w:pPr>
      <w:r w:rsidRPr="00DD6154">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Godin, A. &amp; Yilmaz, D. (2020b). FDI in Brazil. </w:t>
      </w:r>
    </w:p>
    <w:p w14:paraId="255C5BA3" w14:textId="45A40D72" w:rsidR="00A71046" w:rsidRDefault="00A71046" w:rsidP="00A71046">
      <w:pPr>
        <w:spacing w:line="276" w:lineRule="auto"/>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    International Monetary Fund. (2009). </w:t>
      </w:r>
      <w:r w:rsidRPr="00A71046">
        <w:rPr>
          <w:rFonts w:ascii="Times New Roman" w:hAnsi="Times New Roman" w:cs="Times New Roman"/>
          <w:sz w:val="24"/>
          <w:szCs w:val="24"/>
          <w:lang w:val="en-GB"/>
        </w:rPr>
        <w:t>Balance of Payments and International Investment Position Manual</w:t>
      </w:r>
      <w:r>
        <w:rPr>
          <w:rFonts w:ascii="Times New Roman" w:hAnsi="Times New Roman" w:cs="Times New Roman"/>
          <w:sz w:val="24"/>
          <w:szCs w:val="24"/>
          <w:lang w:val="en-GB"/>
        </w:rPr>
        <w:t xml:space="preserve">, Chapter 6. </w:t>
      </w:r>
      <w:r>
        <w:rPr>
          <w:rFonts w:ascii="Times New Roman" w:hAnsi="Times New Roman" w:cs="Times New Roman"/>
          <w:i/>
          <w:iCs/>
          <w:sz w:val="24"/>
          <w:szCs w:val="24"/>
          <w:lang w:val="en-GB"/>
        </w:rPr>
        <w:t xml:space="preserve">Sixth Edition. </w:t>
      </w:r>
      <w:r>
        <w:rPr>
          <w:rFonts w:ascii="Times New Roman" w:hAnsi="Times New Roman" w:cs="Times New Roman"/>
          <w:sz w:val="24"/>
          <w:szCs w:val="24"/>
          <w:lang w:val="en-GB"/>
        </w:rPr>
        <w:t xml:space="preserve">Recovered from:  </w:t>
      </w:r>
      <w:hyperlink r:id="rId10" w:history="1">
        <w:r w:rsidRPr="008F1D49">
          <w:rPr>
            <w:rStyle w:val="Hipervnculo"/>
            <w:rFonts w:ascii="Times New Roman" w:hAnsi="Times New Roman" w:cs="Times New Roman"/>
            <w:sz w:val="24"/>
            <w:szCs w:val="24"/>
            <w:lang w:val="en-GB"/>
          </w:rPr>
          <w:t>https://www.imf.org/external/pubs/ft/bop/2007/pdf/chap6.pdf</w:t>
        </w:r>
      </w:hyperlink>
    </w:p>
    <w:p w14:paraId="1241DCFC" w14:textId="771C1474" w:rsidR="00A71046" w:rsidRDefault="00A71046" w:rsidP="00A71046">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r w:rsidR="00481D70">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 Pedrosa, I. &amp; Biancarelli, A. (2015). </w:t>
      </w:r>
      <w:r w:rsidRPr="00A71046">
        <w:rPr>
          <w:rFonts w:ascii="Times New Roman" w:eastAsiaTheme="minorEastAsia" w:hAnsi="Times New Roman" w:cs="Times New Roman"/>
          <w:sz w:val="24"/>
          <w:szCs w:val="24"/>
          <w:lang w:val="en-GB"/>
        </w:rPr>
        <w:t>Surges in capital in</w:t>
      </w:r>
      <w:r>
        <w:rPr>
          <w:rFonts w:ascii="Times New Roman" w:eastAsiaTheme="minorEastAsia" w:hAnsi="Times New Roman" w:cs="Times New Roman"/>
          <w:sz w:val="24"/>
          <w:szCs w:val="24"/>
          <w:lang w:val="en-GB"/>
        </w:rPr>
        <w:t>fl</w:t>
      </w:r>
      <w:r w:rsidRPr="00A71046">
        <w:rPr>
          <w:rFonts w:ascii="Times New Roman" w:eastAsiaTheme="minorEastAsia" w:hAnsi="Times New Roman" w:cs="Times New Roman"/>
          <w:sz w:val="24"/>
          <w:szCs w:val="24"/>
          <w:lang w:val="en-GB"/>
        </w:rPr>
        <w:t>ows and the</w:t>
      </w:r>
      <w:r>
        <w:rPr>
          <w:rFonts w:ascii="Times New Roman" w:eastAsiaTheme="minorEastAsia" w:hAnsi="Times New Roman" w:cs="Times New Roman"/>
          <w:sz w:val="24"/>
          <w:szCs w:val="24"/>
          <w:lang w:val="en-GB"/>
        </w:rPr>
        <w:t xml:space="preserve"> </w:t>
      </w:r>
      <w:r w:rsidRPr="00A71046">
        <w:rPr>
          <w:rFonts w:ascii="Times New Roman" w:eastAsiaTheme="minorEastAsia" w:hAnsi="Times New Roman" w:cs="Times New Roman"/>
          <w:sz w:val="24"/>
          <w:szCs w:val="24"/>
          <w:lang w:val="en-GB"/>
        </w:rPr>
        <w:t>macroeconomic dynamics of peripheral</w:t>
      </w:r>
      <w:r>
        <w:rPr>
          <w:rFonts w:ascii="Times New Roman" w:eastAsiaTheme="minorEastAsia" w:hAnsi="Times New Roman" w:cs="Times New Roman"/>
          <w:sz w:val="24"/>
          <w:szCs w:val="24"/>
          <w:lang w:val="en-GB"/>
        </w:rPr>
        <w:t xml:space="preserve"> </w:t>
      </w:r>
      <w:r w:rsidRPr="00A71046">
        <w:rPr>
          <w:rFonts w:ascii="Times New Roman" w:eastAsiaTheme="minorEastAsia" w:hAnsi="Times New Roman" w:cs="Times New Roman"/>
          <w:sz w:val="24"/>
          <w:szCs w:val="24"/>
          <w:lang w:val="en-GB"/>
        </w:rPr>
        <w:t>economies: a stock</w:t>
      </w:r>
      <w:r>
        <w:rPr>
          <w:rFonts w:ascii="Times New Roman" w:eastAsiaTheme="minorEastAsia" w:hAnsi="Times New Roman" w:cs="Times New Roman"/>
          <w:sz w:val="24"/>
          <w:szCs w:val="24"/>
          <w:lang w:val="en-GB"/>
        </w:rPr>
        <w:t xml:space="preserve"> – fl</w:t>
      </w:r>
      <w:r w:rsidRPr="00A71046">
        <w:rPr>
          <w:rFonts w:ascii="Times New Roman" w:eastAsiaTheme="minorEastAsia" w:hAnsi="Times New Roman" w:cs="Times New Roman"/>
          <w:sz w:val="24"/>
          <w:szCs w:val="24"/>
          <w:lang w:val="en-GB"/>
        </w:rPr>
        <w:t>ow</w:t>
      </w:r>
      <w:r>
        <w:rPr>
          <w:rFonts w:ascii="Times New Roman" w:eastAsiaTheme="minorEastAsia" w:hAnsi="Times New Roman" w:cs="Times New Roman"/>
          <w:sz w:val="24"/>
          <w:szCs w:val="24"/>
          <w:lang w:val="en-GB"/>
        </w:rPr>
        <w:t xml:space="preserve"> </w:t>
      </w:r>
      <w:r w:rsidRPr="00A71046">
        <w:rPr>
          <w:rFonts w:ascii="Times New Roman" w:eastAsiaTheme="minorEastAsia" w:hAnsi="Times New Roman" w:cs="Times New Roman"/>
          <w:sz w:val="24"/>
          <w:szCs w:val="24"/>
          <w:lang w:val="en-GB"/>
        </w:rPr>
        <w:t>consistent model</w:t>
      </w:r>
      <w:r>
        <w:rPr>
          <w:rFonts w:ascii="Times New Roman" w:eastAsiaTheme="minorEastAsia" w:hAnsi="Times New Roman" w:cs="Times New Roman"/>
          <w:sz w:val="24"/>
          <w:szCs w:val="24"/>
          <w:lang w:val="en-GB"/>
        </w:rPr>
        <w:t xml:space="preserve">. </w:t>
      </w:r>
      <w:r w:rsidR="00481D70">
        <w:rPr>
          <w:rFonts w:ascii="Times New Roman" w:eastAsiaTheme="minorEastAsia" w:hAnsi="Times New Roman" w:cs="Times New Roman"/>
          <w:sz w:val="24"/>
          <w:szCs w:val="24"/>
          <w:lang w:val="en-GB"/>
        </w:rPr>
        <w:t xml:space="preserve">Recovered from:  </w:t>
      </w:r>
      <w:hyperlink r:id="rId11" w:history="1">
        <w:r w:rsidR="00481D70" w:rsidRPr="008F1D49">
          <w:rPr>
            <w:rStyle w:val="Hipervnculo"/>
            <w:rFonts w:ascii="Times New Roman" w:eastAsiaTheme="minorEastAsia" w:hAnsi="Times New Roman" w:cs="Times New Roman"/>
            <w:sz w:val="24"/>
            <w:szCs w:val="24"/>
            <w:lang w:val="en-GB"/>
          </w:rPr>
          <w:t>https://www.researchgate.net/publication/298544498_Surges_in_capital_inflows_and_the_macroeconomic_dynamics_of_peripheral_economies_a_stock-flow_consistent_model</w:t>
        </w:r>
      </w:hyperlink>
      <w:r w:rsidR="00481D70">
        <w:rPr>
          <w:rFonts w:ascii="Times New Roman" w:eastAsiaTheme="minorEastAsia" w:hAnsi="Times New Roman" w:cs="Times New Roman"/>
          <w:sz w:val="24"/>
          <w:szCs w:val="24"/>
          <w:lang w:val="en-GB"/>
        </w:rPr>
        <w:t xml:space="preserve"> </w:t>
      </w:r>
    </w:p>
    <w:p w14:paraId="0B49A29A" w14:textId="7493E50B" w:rsidR="00707B5A" w:rsidRDefault="00707B5A" w:rsidP="00A71046">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Stone, S. &amp; Jomini, P. (2002). </w:t>
      </w:r>
      <w:r w:rsidRPr="00707B5A">
        <w:rPr>
          <w:rFonts w:ascii="Times New Roman" w:eastAsiaTheme="minorEastAsia" w:hAnsi="Times New Roman" w:cs="Times New Roman"/>
          <w:sz w:val="24"/>
          <w:szCs w:val="24"/>
          <w:lang w:val="en-GB"/>
        </w:rPr>
        <w:t>Modelling FDI in a computable general equilibrium framework i</w:t>
      </w:r>
      <w:r>
        <w:rPr>
          <w:rFonts w:ascii="Times New Roman" w:eastAsiaTheme="minorEastAsia" w:hAnsi="Times New Roman" w:cs="Times New Roman"/>
          <w:sz w:val="24"/>
          <w:szCs w:val="24"/>
          <w:lang w:val="en-GB"/>
        </w:rPr>
        <w:t xml:space="preserve">n </w:t>
      </w:r>
      <w:r>
        <w:rPr>
          <w:rFonts w:ascii="Times New Roman" w:eastAsiaTheme="minorEastAsia" w:hAnsi="Times New Roman" w:cs="Times New Roman"/>
          <w:i/>
          <w:iCs/>
          <w:sz w:val="24"/>
          <w:szCs w:val="24"/>
          <w:lang w:val="en-GB"/>
        </w:rPr>
        <w:t xml:space="preserve">Foreign Direct Investment: Research Issues edited by Bijit Bora. </w:t>
      </w:r>
      <w:r>
        <w:rPr>
          <w:rFonts w:ascii="Times New Roman" w:eastAsiaTheme="minorEastAsia" w:hAnsi="Times New Roman" w:cs="Times New Roman"/>
          <w:sz w:val="24"/>
          <w:szCs w:val="24"/>
          <w:lang w:val="en-GB"/>
        </w:rPr>
        <w:t>Routledge: London.</w:t>
      </w:r>
      <w:r w:rsidR="0061404D">
        <w:rPr>
          <w:rFonts w:ascii="Times New Roman" w:eastAsiaTheme="minorEastAsia" w:hAnsi="Times New Roman" w:cs="Times New Roman"/>
          <w:sz w:val="24"/>
          <w:szCs w:val="24"/>
          <w:lang w:val="en-GB"/>
        </w:rPr>
        <w:t xml:space="preserve"> </w:t>
      </w:r>
    </w:p>
    <w:p w14:paraId="0B4CC467" w14:textId="43F049B1" w:rsidR="0061404D" w:rsidRDefault="0061404D" w:rsidP="00A71046">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UNCTAD. (2002). UNCTAD benchmark: FDI performance and potential. Recovered from: </w:t>
      </w:r>
      <w:hyperlink r:id="rId12" w:history="1">
        <w:r w:rsidRPr="008F1D49">
          <w:rPr>
            <w:rStyle w:val="Hipervnculo"/>
            <w:rFonts w:ascii="Times New Roman" w:eastAsiaTheme="minorEastAsia" w:hAnsi="Times New Roman" w:cs="Times New Roman"/>
            <w:sz w:val="24"/>
            <w:szCs w:val="24"/>
            <w:lang w:val="en-GB"/>
          </w:rPr>
          <w:t>https://unctad.org/en/pages/PressReleaseArchive.aspx?ReferenceDocId=2505</w:t>
        </w:r>
      </w:hyperlink>
    </w:p>
    <w:p w14:paraId="7447D9D3" w14:textId="546590CD" w:rsidR="0061404D" w:rsidRPr="0061404D" w:rsidRDefault="0061404D" w:rsidP="00A71046">
      <w:pPr>
        <w:spacing w:line="276" w:lineRule="auto"/>
        <w:jc w:val="both"/>
        <w:rPr>
          <w:rFonts w:ascii="Times New Roman" w:eastAsiaTheme="minorEastAsia" w:hAnsi="Times New Roman" w:cs="Times New Roman"/>
          <w:i/>
          <w:iCs/>
          <w:sz w:val="24"/>
          <w:szCs w:val="24"/>
        </w:rPr>
      </w:pPr>
      <w:r w:rsidRPr="0061404D">
        <w:rPr>
          <w:rFonts w:ascii="Times New Roman" w:eastAsiaTheme="minorEastAsia" w:hAnsi="Times New Roman" w:cs="Times New Roman"/>
          <w:sz w:val="24"/>
          <w:szCs w:val="24"/>
        </w:rPr>
        <w:t xml:space="preserve">   </w:t>
      </w:r>
      <w:r w:rsidRPr="0061404D">
        <w:rPr>
          <w:rFonts w:ascii="Times New Roman" w:eastAsiaTheme="minorEastAsia" w:hAnsi="Times New Roman" w:cs="Times New Roman"/>
          <w:sz w:val="24"/>
          <w:szCs w:val="24"/>
        </w:rPr>
        <w:t xml:space="preserve">Valdecantos, </w:t>
      </w:r>
      <w:r>
        <w:rPr>
          <w:rFonts w:ascii="Times New Roman" w:eastAsiaTheme="minorEastAsia" w:hAnsi="Times New Roman" w:cs="Times New Roman"/>
          <w:sz w:val="24"/>
          <w:szCs w:val="24"/>
        </w:rPr>
        <w:t>S. (</w:t>
      </w:r>
      <w:r w:rsidRPr="0061404D">
        <w:rPr>
          <w:rFonts w:ascii="Times New Roman" w:eastAsiaTheme="minorEastAsia" w:hAnsi="Times New Roman" w:cs="Times New Roman"/>
          <w:sz w:val="24"/>
          <w:szCs w:val="24"/>
        </w:rPr>
        <w:t>2016</w:t>
      </w:r>
      <w:r>
        <w:rPr>
          <w:rFonts w:ascii="Times New Roman" w:eastAsiaTheme="minorEastAsia" w:hAnsi="Times New Roman" w:cs="Times New Roman"/>
          <w:sz w:val="24"/>
          <w:szCs w:val="24"/>
        </w:rPr>
        <w:t>)</w:t>
      </w:r>
      <w:r w:rsidRPr="006140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Estructura productiva y vulnerabilidad externa: un modelo estructuralista stock – flujo consistente. </w:t>
      </w:r>
      <w:r>
        <w:rPr>
          <w:rFonts w:ascii="Times New Roman" w:eastAsiaTheme="minorEastAsia" w:hAnsi="Times New Roman" w:cs="Times New Roman"/>
          <w:i/>
          <w:iCs/>
          <w:sz w:val="24"/>
          <w:szCs w:val="24"/>
        </w:rPr>
        <w:t xml:space="preserve">Estudios y Perspectivas – Oficina de la CEPAL en Buenos Aires, 46, </w:t>
      </w:r>
      <w:r w:rsidRPr="0061404D">
        <w:rPr>
          <w:rFonts w:ascii="Times New Roman" w:eastAsiaTheme="minorEastAsia" w:hAnsi="Times New Roman" w:cs="Times New Roman"/>
          <w:sz w:val="24"/>
          <w:szCs w:val="24"/>
        </w:rPr>
        <w:t>Naciones Unidas Comisión Económica para América Latina y el Caribe (CEPAL).</w:t>
      </w:r>
    </w:p>
    <w:p w14:paraId="2FE4B8F1" w14:textId="238BFF9E" w:rsidR="00A773C8" w:rsidRPr="00A71046" w:rsidRDefault="00A71046" w:rsidP="00A71046">
      <w:pPr>
        <w:spacing w:line="276" w:lineRule="auto"/>
        <w:jc w:val="both"/>
        <w:rPr>
          <w:rFonts w:ascii="Times New Roman" w:eastAsiaTheme="minorEastAsia" w:hAnsi="Times New Roman" w:cs="Times New Roman"/>
          <w:sz w:val="24"/>
          <w:szCs w:val="24"/>
          <w:lang w:val="en-GB"/>
        </w:rPr>
      </w:pPr>
      <w:r w:rsidRPr="0061404D">
        <w:rPr>
          <w:rFonts w:ascii="Times New Roman" w:eastAsiaTheme="minorEastAsia" w:hAnsi="Times New Roman" w:cs="Times New Roman"/>
          <w:sz w:val="24"/>
          <w:szCs w:val="24"/>
        </w:rPr>
        <w:lastRenderedPageBreak/>
        <w:t xml:space="preserve">  </w:t>
      </w:r>
      <w:r w:rsidR="00A773C8" w:rsidRPr="0061404D">
        <w:rPr>
          <w:rFonts w:ascii="Times New Roman" w:eastAsiaTheme="minorEastAsia" w:hAnsi="Times New Roman" w:cs="Times New Roman"/>
          <w:sz w:val="24"/>
          <w:szCs w:val="24"/>
        </w:rPr>
        <w:t xml:space="preserve"> </w:t>
      </w:r>
      <w:r w:rsidR="00481D70" w:rsidRPr="0061404D">
        <w:rPr>
          <w:rFonts w:ascii="Times New Roman" w:eastAsiaTheme="minorEastAsia" w:hAnsi="Times New Roman" w:cs="Times New Roman"/>
          <w:sz w:val="24"/>
          <w:szCs w:val="24"/>
        </w:rPr>
        <w:t xml:space="preserve"> </w:t>
      </w:r>
      <w:r w:rsidR="00A773C8">
        <w:rPr>
          <w:rFonts w:ascii="Times New Roman" w:eastAsiaTheme="minorEastAsia" w:hAnsi="Times New Roman" w:cs="Times New Roman"/>
          <w:sz w:val="24"/>
          <w:szCs w:val="24"/>
          <w:lang w:val="en-GB"/>
        </w:rPr>
        <w:t>Yilmaz, D. &amp; Godin, A.</w:t>
      </w:r>
      <w:r>
        <w:rPr>
          <w:rFonts w:ascii="Times New Roman" w:eastAsiaTheme="minorEastAsia" w:hAnsi="Times New Roman" w:cs="Times New Roman"/>
          <w:sz w:val="24"/>
          <w:szCs w:val="24"/>
          <w:lang w:val="en-GB"/>
        </w:rPr>
        <w:t xml:space="preserve"> (2020a)</w:t>
      </w:r>
      <w:r w:rsidR="00A773C8">
        <w:rPr>
          <w:rFonts w:ascii="Times New Roman" w:eastAsiaTheme="minorEastAsia" w:hAnsi="Times New Roman" w:cs="Times New Roman"/>
          <w:sz w:val="24"/>
          <w:szCs w:val="24"/>
          <w:lang w:val="en-GB"/>
        </w:rPr>
        <w:t xml:space="preserve"> Modelling small open developing economies in a financialized world: a stock flow consistent prototype growth model. </w:t>
      </w:r>
      <w:r w:rsidR="00A773C8">
        <w:rPr>
          <w:rFonts w:ascii="Times New Roman" w:eastAsiaTheme="minorEastAsia" w:hAnsi="Times New Roman" w:cs="Times New Roman"/>
          <w:i/>
          <w:iCs/>
          <w:sz w:val="24"/>
          <w:szCs w:val="24"/>
          <w:lang w:val="en-GB"/>
        </w:rPr>
        <w:t xml:space="preserve">AFD: Research Papers, </w:t>
      </w:r>
      <w:r>
        <w:rPr>
          <w:rFonts w:ascii="Times New Roman" w:eastAsiaTheme="minorEastAsia" w:hAnsi="Times New Roman" w:cs="Times New Roman"/>
          <w:sz w:val="24"/>
          <w:szCs w:val="24"/>
          <w:lang w:val="en-GB"/>
        </w:rPr>
        <w:t>125</w:t>
      </w:r>
      <w:r>
        <w:rPr>
          <w:rFonts w:ascii="Times New Roman" w:eastAsiaTheme="minorEastAsia" w:hAnsi="Times New Roman" w:cs="Times New Roman"/>
          <w:i/>
          <w:iCs/>
          <w:sz w:val="24"/>
          <w:szCs w:val="24"/>
          <w:lang w:val="en-GB"/>
        </w:rPr>
        <w:t xml:space="preserve"> </w:t>
      </w:r>
      <w:r>
        <w:rPr>
          <w:rFonts w:ascii="Times New Roman" w:eastAsiaTheme="minorEastAsia" w:hAnsi="Times New Roman" w:cs="Times New Roman"/>
          <w:sz w:val="24"/>
          <w:szCs w:val="24"/>
          <w:lang w:val="en-GB"/>
        </w:rPr>
        <w:t>(2020a)</w:t>
      </w:r>
      <w:r w:rsidR="00A773C8">
        <w:rPr>
          <w:rFonts w:ascii="Times New Roman" w:eastAsiaTheme="minorEastAsia" w:hAnsi="Times New Roman" w:cs="Times New Roman"/>
          <w:i/>
          <w:iCs/>
          <w:sz w:val="24"/>
          <w:szCs w:val="24"/>
          <w:lang w:val="en-GB"/>
        </w:rPr>
        <w:t xml:space="preserve"> </w:t>
      </w:r>
      <w:r w:rsidR="00A773C8">
        <w:rPr>
          <w:rFonts w:ascii="Times New Roman" w:eastAsiaTheme="minorEastAsia" w:hAnsi="Times New Roman" w:cs="Times New Roman"/>
          <w:sz w:val="24"/>
          <w:szCs w:val="24"/>
          <w:lang w:val="en-GB"/>
        </w:rPr>
        <w:t>Recovered</w:t>
      </w:r>
      <w:r>
        <w:rPr>
          <w:rFonts w:ascii="Times New Roman" w:eastAsiaTheme="minorEastAsia" w:hAnsi="Times New Roman" w:cs="Times New Roman"/>
          <w:sz w:val="24"/>
          <w:szCs w:val="24"/>
          <w:lang w:val="en-GB"/>
        </w:rPr>
        <w:t xml:space="preserve"> </w:t>
      </w:r>
      <w:r w:rsidR="00A773C8">
        <w:rPr>
          <w:rFonts w:ascii="Times New Roman" w:eastAsiaTheme="minorEastAsia" w:hAnsi="Times New Roman" w:cs="Times New Roman"/>
          <w:sz w:val="24"/>
          <w:szCs w:val="24"/>
          <w:lang w:val="en-GB"/>
        </w:rPr>
        <w:t>from</w:t>
      </w:r>
      <w:r>
        <w:rPr>
          <w:rFonts w:ascii="Times New Roman" w:eastAsiaTheme="minorEastAsia" w:hAnsi="Times New Roman" w:cs="Times New Roman"/>
          <w:sz w:val="24"/>
          <w:szCs w:val="24"/>
          <w:lang w:val="en-GB"/>
        </w:rPr>
        <w:t xml:space="preserve">: </w:t>
      </w:r>
      <w:hyperlink r:id="rId13" w:history="1">
        <w:r w:rsidRPr="008F1D49">
          <w:rPr>
            <w:rStyle w:val="Hipervnculo"/>
            <w:rFonts w:ascii="Times New Roman" w:eastAsiaTheme="minorEastAsia" w:hAnsi="Times New Roman" w:cs="Times New Roman"/>
            <w:sz w:val="24"/>
            <w:szCs w:val="24"/>
            <w:lang w:val="en-GB"/>
          </w:rPr>
          <w:t>https://www.afd.fr/sites/afd/files/2020-02-06-25-40/A%20Stock</w:t>
        </w:r>
      </w:hyperlink>
      <w:r>
        <w:rPr>
          <w:rFonts w:ascii="Times New Roman" w:eastAsiaTheme="minorEastAsia" w:hAnsi="Times New Roman" w:cs="Times New Roman"/>
          <w:color w:val="0070C0"/>
          <w:sz w:val="24"/>
          <w:szCs w:val="24"/>
          <w:lang w:val="en-GB"/>
        </w:rPr>
        <w:t xml:space="preserve"> </w:t>
      </w:r>
      <w:r w:rsidRPr="00A71046">
        <w:rPr>
          <w:rFonts w:ascii="Times New Roman" w:eastAsiaTheme="minorEastAsia" w:hAnsi="Times New Roman" w:cs="Times New Roman"/>
          <w:color w:val="0070C0"/>
          <w:sz w:val="24"/>
          <w:szCs w:val="24"/>
          <w:lang w:val="en-GB"/>
        </w:rPr>
        <w:t>Flow%20Consistent%20Prototype%20Growth%20Model.pdf</w:t>
      </w:r>
    </w:p>
    <w:p w14:paraId="015FA975" w14:textId="63294A90" w:rsidR="00A773C8" w:rsidRPr="00A773C8" w:rsidRDefault="00A71046" w:rsidP="00A51101">
      <w:pPr>
        <w:spacing w:line="48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p>
    <w:p w14:paraId="380695C0" w14:textId="68C98BC8" w:rsidR="0061404D" w:rsidRPr="0061404D" w:rsidRDefault="0061404D" w:rsidP="0061404D">
      <w:pPr>
        <w:spacing w:line="480" w:lineRule="auto"/>
        <w:jc w:val="both"/>
        <w:rPr>
          <w:rFonts w:ascii="Times New Roman" w:eastAsiaTheme="minorEastAsia" w:hAnsi="Times New Roman" w:cs="Times New Roman"/>
          <w:color w:val="FF0000"/>
          <w:sz w:val="24"/>
          <w:szCs w:val="24"/>
        </w:rPr>
      </w:pPr>
    </w:p>
    <w:p w14:paraId="2FE885FB" w14:textId="05A1570E" w:rsidR="00B5736C" w:rsidRDefault="00B5736C"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961D00">
        <w:rPr>
          <w:rFonts w:ascii="Times New Roman" w:eastAsiaTheme="minorEastAsia" w:hAnsi="Times New Roman" w:cs="Times New Roman"/>
          <w:sz w:val="24"/>
          <w:szCs w:val="24"/>
          <w:highlight w:val="yellow"/>
        </w:rPr>
        <w:t>¿Cuánto de los dividendos va al resto del mundo y cuánto a los hogares (estructura de la propiedad)?</w:t>
      </w:r>
    </w:p>
    <w:p w14:paraId="1995635E" w14:textId="3454A2C4" w:rsidR="00916FFB" w:rsidRPr="00961D00" w:rsidRDefault="00916FFB"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 xml:space="preserve">Ecuación de las acciones. </w:t>
      </w:r>
    </w:p>
    <w:p w14:paraId="1F18BFE4" w14:textId="2DF4F9F1" w:rsidR="007A47E6" w:rsidRDefault="007A47E6"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916FFB">
        <w:rPr>
          <w:rFonts w:ascii="Times New Roman" w:eastAsiaTheme="minorEastAsia" w:hAnsi="Times New Roman" w:cs="Times New Roman"/>
          <w:sz w:val="24"/>
          <w:szCs w:val="24"/>
          <w:highlight w:val="yellow"/>
        </w:rPr>
        <w:t>¿Qué determina el arbitraje entre Greenfield y Non-Greenfield?</w:t>
      </w:r>
      <w:r w:rsidR="00A51101" w:rsidRPr="00916FFB">
        <w:rPr>
          <w:rFonts w:ascii="Times New Roman" w:eastAsiaTheme="minorEastAsia" w:hAnsi="Times New Roman" w:cs="Times New Roman"/>
          <w:sz w:val="24"/>
          <w:szCs w:val="24"/>
          <w:highlight w:val="yellow"/>
        </w:rPr>
        <w:t xml:space="preserve"> ¿No debería dar mayor rentabilidad respecto a una misma acción non-greenfield?</w:t>
      </w:r>
    </w:p>
    <w:p w14:paraId="2A2569FE" w14:textId="39803576" w:rsidR="00916FFB" w:rsidRPr="00916FFB" w:rsidRDefault="00916FFB"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¿Precio de las acciones?</w:t>
      </w:r>
    </w:p>
    <w:sectPr w:rsidR="00916FFB" w:rsidRPr="00916FFB" w:rsidSect="0003346F">
      <w:pgSz w:w="12240" w:h="15840"/>
      <w:pgMar w:top="1418" w:right="1588" w:bottom="1418"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41B2"/>
    <w:multiLevelType w:val="hybridMultilevel"/>
    <w:tmpl w:val="F4923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081BC8"/>
    <w:multiLevelType w:val="hybridMultilevel"/>
    <w:tmpl w:val="07AE1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8C"/>
    <w:rsid w:val="0003346F"/>
    <w:rsid w:val="00185BEF"/>
    <w:rsid w:val="00193BFD"/>
    <w:rsid w:val="001A1436"/>
    <w:rsid w:val="001C1491"/>
    <w:rsid w:val="001D6352"/>
    <w:rsid w:val="00214198"/>
    <w:rsid w:val="00260A4C"/>
    <w:rsid w:val="00284009"/>
    <w:rsid w:val="002C05AB"/>
    <w:rsid w:val="0032768C"/>
    <w:rsid w:val="00394CCC"/>
    <w:rsid w:val="003A5189"/>
    <w:rsid w:val="003D5EC5"/>
    <w:rsid w:val="00433E74"/>
    <w:rsid w:val="00474046"/>
    <w:rsid w:val="00481D70"/>
    <w:rsid w:val="004D2A53"/>
    <w:rsid w:val="004F1689"/>
    <w:rsid w:val="0052139C"/>
    <w:rsid w:val="005432CE"/>
    <w:rsid w:val="005F2A82"/>
    <w:rsid w:val="00612738"/>
    <w:rsid w:val="0061404D"/>
    <w:rsid w:val="006A013F"/>
    <w:rsid w:val="006B4CFD"/>
    <w:rsid w:val="00705938"/>
    <w:rsid w:val="00707B5A"/>
    <w:rsid w:val="00714C18"/>
    <w:rsid w:val="007646DE"/>
    <w:rsid w:val="007804DC"/>
    <w:rsid w:val="007A47E6"/>
    <w:rsid w:val="007E1C95"/>
    <w:rsid w:val="00842421"/>
    <w:rsid w:val="009051D6"/>
    <w:rsid w:val="00916FFB"/>
    <w:rsid w:val="009514B9"/>
    <w:rsid w:val="00961D00"/>
    <w:rsid w:val="00A44658"/>
    <w:rsid w:val="00A51101"/>
    <w:rsid w:val="00A550D9"/>
    <w:rsid w:val="00A71046"/>
    <w:rsid w:val="00A773C8"/>
    <w:rsid w:val="00AE7EC4"/>
    <w:rsid w:val="00B5736C"/>
    <w:rsid w:val="00B76262"/>
    <w:rsid w:val="00B9435E"/>
    <w:rsid w:val="00BA4ECF"/>
    <w:rsid w:val="00BB76CE"/>
    <w:rsid w:val="00BC5744"/>
    <w:rsid w:val="00C1671E"/>
    <w:rsid w:val="00C211EC"/>
    <w:rsid w:val="00C66244"/>
    <w:rsid w:val="00CA716A"/>
    <w:rsid w:val="00CB7C20"/>
    <w:rsid w:val="00D5021F"/>
    <w:rsid w:val="00DB4205"/>
    <w:rsid w:val="00DD6154"/>
    <w:rsid w:val="00E56DC7"/>
    <w:rsid w:val="00ED0AB6"/>
    <w:rsid w:val="00F76C96"/>
    <w:rsid w:val="00FD11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D32"/>
  <w15:chartTrackingRefBased/>
  <w15:docId w15:val="{D5B4EC3D-F2F0-4FF4-832C-BAE7264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9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68C"/>
    <w:pPr>
      <w:ind w:left="720"/>
      <w:contextualSpacing/>
    </w:pPr>
  </w:style>
  <w:style w:type="character" w:styleId="Textodelmarcadordeposicin">
    <w:name w:val="Placeholder Text"/>
    <w:basedOn w:val="Fuentedeprrafopredeter"/>
    <w:uiPriority w:val="99"/>
    <w:semiHidden/>
    <w:rsid w:val="00E56DC7"/>
    <w:rPr>
      <w:color w:val="808080"/>
    </w:rPr>
  </w:style>
  <w:style w:type="character" w:styleId="Hipervnculo">
    <w:name w:val="Hyperlink"/>
    <w:basedOn w:val="Fuentedeprrafopredeter"/>
    <w:uiPriority w:val="99"/>
    <w:unhideWhenUsed/>
    <w:rsid w:val="00A773C8"/>
    <w:rPr>
      <w:color w:val="0563C1" w:themeColor="hyperlink"/>
      <w:u w:val="single"/>
    </w:rPr>
  </w:style>
  <w:style w:type="character" w:styleId="Mencinsinresolver">
    <w:name w:val="Unresolved Mention"/>
    <w:basedOn w:val="Fuentedeprrafopredeter"/>
    <w:uiPriority w:val="99"/>
    <w:semiHidden/>
    <w:unhideWhenUsed/>
    <w:rsid w:val="00A77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a/col/000151/012881.html" TargetMode="External"/><Relationship Id="rId13" Type="http://schemas.openxmlformats.org/officeDocument/2006/relationships/hyperlink" Target="https://www.afd.fr/sites/afd/files/2020-02-06-25-40/A%20Stock" TargetMode="External"/><Relationship Id="rId3" Type="http://schemas.openxmlformats.org/officeDocument/2006/relationships/styles" Target="styles.xml"/><Relationship Id="rId7" Type="http://schemas.openxmlformats.org/officeDocument/2006/relationships/hyperlink" Target="https://ideas.repec.org/a/col/000151/012881.html" TargetMode="External"/><Relationship Id="rId12" Type="http://schemas.openxmlformats.org/officeDocument/2006/relationships/hyperlink" Target="https://unctad.org/en/pages/PressReleaseArchive.aspx?ReferenceDocId=25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40888-016-030-6" TargetMode="External"/><Relationship Id="rId11" Type="http://schemas.openxmlformats.org/officeDocument/2006/relationships/hyperlink" Target="https://www.researchgate.net/publication/298544498_Surges_in_capital_inflows_and_the_macroeconomic_dynamics_of_peripheral_economies_a_stock-flow_consistent_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mf.org/external/pubs/ft/bop/2007/pdf/chap6.pdf" TargetMode="External"/><Relationship Id="rId4" Type="http://schemas.openxmlformats.org/officeDocument/2006/relationships/settings" Target="settings.xml"/><Relationship Id="rId9" Type="http://schemas.openxmlformats.org/officeDocument/2006/relationships/hyperlink" Target="https://www.banrep.gov.co/sites/default/files/publicaciones/archivos/be_713.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51C8-6E15-48E5-994F-EFC6233E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5</Pages>
  <Words>1705</Words>
  <Characters>9381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Andrade</dc:creator>
  <cp:keywords/>
  <dc:description/>
  <cp:lastModifiedBy>Jhan Andrade</cp:lastModifiedBy>
  <cp:revision>14</cp:revision>
  <dcterms:created xsi:type="dcterms:W3CDTF">2020-10-01T17:31:00Z</dcterms:created>
  <dcterms:modified xsi:type="dcterms:W3CDTF">2020-10-05T20:04:00Z</dcterms:modified>
</cp:coreProperties>
</file>