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26210A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26210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26210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26210A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26210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26210A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26210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26210A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26210A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26210A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26210A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26210A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26210A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635D4DB6" w:rsidR="00330A74" w:rsidRPr="00A87171" w:rsidRDefault="0026210A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26210A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26210A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26210A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1E08B5FB" w:rsid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4F3A1AF3" w14:textId="057137B3" w:rsidR="0026210A" w:rsidRPr="0026210A" w:rsidRDefault="0026210A" w:rsidP="0026210A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La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variación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de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acciones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es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igual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a la inversion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en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capital que no se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financia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, es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decir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, el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aumento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neto</w:t>
      </w:r>
      <w:proofErr w:type="spellEnd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 xml:space="preserve"> de </w:t>
      </w:r>
      <w:proofErr w:type="spellStart"/>
      <w:r w:rsidRPr="00737EE4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GB"/>
        </w:rPr>
        <w:t>Activos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. </w:t>
      </w:r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Capital (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Activo</w:t>
      </w:r>
      <w:proofErr w:type="spellEnd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) – 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Deuda</w:t>
      </w:r>
      <w:proofErr w:type="spellEnd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(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Pasivo</w:t>
      </w:r>
      <w:proofErr w:type="spellEnd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) = Capital 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neto</w:t>
      </w:r>
      <w:proofErr w:type="spellEnd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(+)= 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Variación</w:t>
      </w:r>
      <w:proofErr w:type="spellEnd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de </w:t>
      </w:r>
      <w:proofErr w:type="spellStart"/>
      <w:r w:rsidR="003F6C2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acciones</w:t>
      </w:r>
      <w:proofErr w:type="spellEnd"/>
    </w:p>
    <w:p w14:paraId="090B1F10" w14:textId="7EF7B397" w:rsidR="00392C3E" w:rsidRPr="0026210A" w:rsidRDefault="00D855CF" w:rsidP="003031E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7FB1A61B" w14:textId="3041CD5C" w:rsidR="0026210A" w:rsidRPr="0026210A" w:rsidRDefault="0026210A" w:rsidP="0026210A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65B910EF" w14:textId="5A7D89C8" w:rsidR="0026210A" w:rsidRPr="0026210A" w:rsidRDefault="0026210A" w:rsidP="0026210A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4698546C" w14:textId="4C00F1ED" w:rsidR="0026210A" w:rsidRPr="007121E6" w:rsidRDefault="0026210A" w:rsidP="0026210A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sup>
          </m:sSup>
        </m:oMath>
      </m:oMathPara>
    </w:p>
    <w:p w14:paraId="1D1B97B9" w14:textId="6922C7AF" w:rsidR="0026210A" w:rsidRPr="00A345D6" w:rsidRDefault="007121E6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7A22BA1B" w14:textId="1B4022F6" w:rsidR="00A345D6" w:rsidRPr="00A345D6" w:rsidRDefault="00A345D6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68A0107" w14:textId="28EFEFD9" w:rsidR="00A345D6" w:rsidRPr="00A345D6" w:rsidRDefault="00A345D6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GB"/>
            </w:rPr>
            <m:t>(pago de intereses a la deuda)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-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yellow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yellow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733A3E14" w14:textId="2867F592" w:rsidR="00A345D6" w:rsidRPr="00A345D6" w:rsidRDefault="00A345D6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</m:oMath>
      </m:oMathPara>
    </w:p>
    <w:p w14:paraId="74C2E0E2" w14:textId="49222524" w:rsidR="00A345D6" w:rsidRDefault="00A345D6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DF7A7D3" w14:textId="77777777" w:rsidR="00737EE4" w:rsidRPr="00A345D6" w:rsidRDefault="00737EE4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5676D06" w14:textId="59EE9B0F" w:rsidR="00A345D6" w:rsidRPr="00A345D6" w:rsidRDefault="005D7803" w:rsidP="00A345D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(Definición)</m:t>
          </m:r>
        </m:oMath>
      </m:oMathPara>
    </w:p>
    <w:p w14:paraId="5E1B51AE" w14:textId="562E9E7C" w:rsidR="00392C3E" w:rsidRPr="004A7CA0" w:rsidRDefault="0026210A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(Definición)</m:t>
          </m:r>
        </m:oMath>
      </m:oMathPara>
      <w:bookmarkStart w:id="0" w:name="_GoBack"/>
      <w:bookmarkEnd w:id="0"/>
    </w:p>
    <w:p w14:paraId="12ED92C4" w14:textId="758A0734" w:rsidR="004A7CA0" w:rsidRPr="004A7CA0" w:rsidRDefault="004A7CA0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trike/>
              <w:color w:val="FF0000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trike/>
                  <w:color w:val="FF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color w:val="70AD47" w:themeColor="accent6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70AD47" w:themeColor="accent6"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  <w:lang w:val="en-GB"/>
                </w:rPr>
                <m:t>k</m:t>
              </m:r>
            </m:sup>
          </m:sSup>
        </m:oMath>
      </m:oMathPara>
    </w:p>
    <w:p w14:paraId="04807C3E" w14:textId="77777777" w:rsidR="004A7CA0" w:rsidRPr="004A7CA0" w:rsidRDefault="004A7CA0" w:rsidP="004A7CA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26210A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26210A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A87171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V</w:t>
      </w:r>
      <w:r w:rsidR="00582915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ariation </w:t>
      </w:r>
      <w:r w:rsidR="00D5200E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of </w:t>
      </w: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the FX loans arbitrage parameter.</w:t>
      </w:r>
    </w:p>
    <w:p w14:paraId="226A5FC0" w14:textId="7E030775" w:rsidR="00875E71" w:rsidRPr="00A87171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LF,par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A87171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Target </w:t>
      </w:r>
      <w:r w:rsidR="00C93696"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 xml:space="preserve">FX loans arbitrage parameter. </w:t>
      </w:r>
    </w:p>
    <w:p w14:paraId="49557B1E" w14:textId="2655A882" w:rsidR="00E662CD" w:rsidRPr="00A87171" w:rsidRDefault="0026210A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b>
            </m:sSub>
          </m:e>
        </m:d>
      </m:oMath>
      <w:r w:rsidR="00875E71" w:rsidRPr="00A87171"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  <w:t xml:space="preserve"> </w:t>
      </w:r>
    </w:p>
    <w:p w14:paraId="7F8F6EE4" w14:textId="3D950B98" w:rsidR="00582915" w:rsidRPr="00A87171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</w:pPr>
      <w:r w:rsidRPr="00A87171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L,D,T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highlight w:val="yellow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L,D,T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26210A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26210A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26210A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26210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26210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26210A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26210A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26210A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26210A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26210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26210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3B9BC763" w:rsidR="00A245E4" w:rsidRPr="004753E8" w:rsidRDefault="0026210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79E6F4FD" w14:textId="1BF853A6" w:rsidR="00AC338F" w:rsidRPr="00A87171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26210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26210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26210A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26210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472C9A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472C9A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Value added tax.</w:t>
      </w:r>
    </w:p>
    <w:p w14:paraId="524D95C2" w14:textId="193BF30B" w:rsidR="00EC64A4" w:rsidRPr="00931E48" w:rsidRDefault="0026210A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26210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26210A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26210A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41036642" w:rsidR="00A11CF1" w:rsidRPr="001101A8" w:rsidRDefault="0026210A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Government demand. </w:t>
      </w:r>
    </w:p>
    <w:p w14:paraId="534062A6" w14:textId="3A9AAEE8" w:rsidR="007F49F6" w:rsidRDefault="0026210A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26210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26210A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26210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26210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26210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26210A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26210A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26210A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26210A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1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1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26210A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26210A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26210A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26210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26210A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2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26210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26210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26210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91"/>
      <w:bookmarkEnd w:id="3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DDF96FB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w:lastRenderedPageBreak/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353A4927" w14:textId="25702981" w:rsidR="001117F8" w:rsidRPr="001117F8" w:rsidRDefault="0026210A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70AD47" w:themeColor="accent6"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70AD47" w:themeColor="accent6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AD47" w:themeColor="accent6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70AD47" w:themeColor="accent6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70AD47" w:themeColor="accent6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70AD47" w:themeColor="accent6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70AD47" w:themeColor="accent6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70AD47" w:themeColor="accent6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AD47" w:themeColor="accent6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70AD47" w:themeColor="accent6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70AD47" w:themeColor="accent6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70AD47" w:themeColor="accent6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70AD47" w:themeColor="accent6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AD47" w:themeColor="accent6"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70AD47" w:themeColor="accent6"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0AD47" w:themeColor="accent6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color w:val="70AD47" w:themeColor="accent6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color w:val="70AD47" w:themeColor="accent6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color w:val="70AD47" w:themeColor="accent6"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color w:val="70AD47" w:themeColor="accent6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70AD47" w:themeColor="accent6"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hAnsi="Cambria Math" w:cs="Times New Roman"/>
              <w:color w:val="70AD47" w:themeColor="accent6"/>
              <w:sz w:val="23"/>
              <w:szCs w:val="23"/>
              <w:lang w:val="en-GB"/>
            </w:rPr>
            <m:t>TF</m:t>
          </m:r>
          <m:sSub>
            <m:sSubPr>
              <m:ctrlPr>
                <w:rPr>
                  <w:rFonts w:ascii="Cambria Math" w:hAnsi="Cambria Math" w:cs="Times New Roman"/>
                  <w:i/>
                  <w:color w:val="70AD47" w:themeColor="accent6"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70AD47" w:themeColor="accent6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C00000"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C00000"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00000"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C00000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C00000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C00000"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00000"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C00000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C00000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C00000"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00000"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C00000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color w:val="C00000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color w:val="C00000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color w:val="C00000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C00000"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C00000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00000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C00000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C00000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C00000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00000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C00000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C00000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 </m:t>
          </m:r>
        </m:oMath>
      </m:oMathPara>
    </w:p>
    <w:p w14:paraId="57353E52" w14:textId="75A4BB62" w:rsidR="00C53106" w:rsidRPr="001117F8" w:rsidRDefault="0026210A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806000" w:themeColor="accent4" w:themeShade="80"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806000" w:themeColor="accent4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806000" w:themeColor="accent4" w:themeShade="8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806000" w:themeColor="accent4" w:themeShade="80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color w:val="806000" w:themeColor="accent4" w:themeShade="80"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806000" w:themeColor="accent4" w:themeShade="80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7C9B6AC9" w14:textId="590B346D" w:rsidR="00C53106" w:rsidRPr="00C53106" w:rsidRDefault="0026210A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3"/>
                  <w:szCs w:val="23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GB"/>
                </w:rPr>
                <m:t>1-</m:t>
              </m:r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</w:rPr>
                <m:t>rrr</m:t>
              </m: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3"/>
                  <w:szCs w:val="23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7030A0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7030A0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7030A0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7030A0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7030A0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OF</m:t>
              </m:r>
            </m:e>
          </m:acc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</m:oMath>
      </m:oMathPara>
    </w:p>
    <w:p w14:paraId="7986FE0A" w14:textId="459B0413" w:rsidR="00C53106" w:rsidRPr="00CD450D" w:rsidRDefault="00CD450D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color w:val="7030A0"/>
              <w:sz w:val="23"/>
              <w:szCs w:val="23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rrr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66F81F9F" w14:textId="1392302A" w:rsidR="00CD450D" w:rsidRPr="001F7916" w:rsidRDefault="0026210A" w:rsidP="00C53106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rrr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3"/>
                              <w:szCs w:val="23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3"/>
                              <w:szCs w:val="23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6A4E83DC" w14:textId="7CBA7167" w:rsidR="001F7916" w:rsidRPr="001F7916" w:rsidRDefault="001F7916" w:rsidP="001F791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7030A0"/>
              <w:sz w:val="23"/>
              <w:szCs w:val="23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7030A0"/>
                  <w:sz w:val="23"/>
                  <w:szCs w:val="23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13A8961A" w14:textId="4D69CBF1" w:rsidR="00CD450D" w:rsidRDefault="0026210A" w:rsidP="00CD450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875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26210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6" w:name="_Hlk52120762"/>
      <w:bookmarkStart w:id="7" w:name="_Hlk52120737"/>
      <w:bookmarkEnd w:id="5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6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7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26210A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8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78"/>
      <w:bookmarkEnd w:id="8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26210A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58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Target interest rate on firms loans in domestic currency.</w:t>
      </w:r>
    </w:p>
    <w:p w14:paraId="287397C4" w14:textId="79DC020E" w:rsidR="001A3B8A" w:rsidRPr="001A3B8A" w:rsidRDefault="0026210A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1" w:name="_Hlk52120507"/>
      <w:bookmarkEnd w:id="10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1"/>
    <w:p w14:paraId="68C9ACEE" w14:textId="1E9B088F" w:rsidR="001A3B8A" w:rsidRPr="00C11AA5" w:rsidRDefault="0026210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26210A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3" w:name="_Hlk52120267"/>
      <w:bookmarkEnd w:id="12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4" w:name="_Hlk52120188"/>
      <w:bookmarkEnd w:id="13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5" w:name="_Hlk52120157"/>
      <w:bookmarkEnd w:id="14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26210A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5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26210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6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6"/>
    </w:p>
    <w:p w14:paraId="658AB6FF" w14:textId="05BB8959" w:rsidR="0081696C" w:rsidRPr="00333DE1" w:rsidRDefault="0026210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7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26210A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5D541770" w14:textId="494D9268" w:rsidR="00B87E25" w:rsidRPr="00713679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Portfolio </w:t>
      </w:r>
      <w:r w:rsidR="00BD3BE1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flow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 entering </w:t>
      </w: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to 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domestic economy</w:t>
      </w:r>
      <w:r w:rsidR="006812CE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.</w:t>
      </w:r>
    </w:p>
    <w:p w14:paraId="07EAFFD4" w14:textId="4DEB56CE" w:rsidR="00333DE1" w:rsidRPr="00DA761C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=ψ∙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N</m:t>
              </m:r>
            </m:sup>
          </m:sSup>
        </m:oMath>
      </m:oMathPara>
    </w:p>
    <w:p w14:paraId="008EFC6C" w14:textId="69B75E72" w:rsidR="0076033A" w:rsidRPr="00713679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Share of total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government bonds supply</w:t>
      </w:r>
      <w:r w:rsidR="008D2559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purchased by the rest of the world.</w:t>
      </w:r>
    </w:p>
    <w:bookmarkStart w:id="18" w:name="_Hlk52119764"/>
    <w:bookmarkEnd w:id="17"/>
    <w:p w14:paraId="6EF478EF" w14:textId="1A6AE52D" w:rsidR="00333DE1" w:rsidRPr="00DA761C" w:rsidRDefault="0026210A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9" w:name="_Hlk52119589"/>
      <w:bookmarkEnd w:id="18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26210A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9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26210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0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439"/>
      <w:bookmarkEnd w:id="20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1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26210A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26210A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26210A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26210A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26210A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Firm’s equities accumulation by the households.</w:t>
      </w:r>
    </w:p>
    <w:p w14:paraId="4179A40A" w14:textId="57467688" w:rsidR="002920DA" w:rsidRPr="00050B98" w:rsidRDefault="0026210A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highlight w:val="cy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RoW</m:t>
              </m:r>
            </m:sup>
          </m:sSubSup>
        </m:oMath>
      </m:oMathPara>
    </w:p>
    <w:p w14:paraId="0895A1B1" w14:textId="3F9EBFEF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Banks’s equities accumulation by the households.</w:t>
      </w:r>
    </w:p>
    <w:p w14:paraId="50337288" w14:textId="7F4B8C5E" w:rsidR="00847FCC" w:rsidRPr="003C7714" w:rsidRDefault="0026210A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26210A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26210A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26210A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26210A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2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26210A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2"/>
    <w:p w14:paraId="3EDD0303" w14:textId="66692FE3" w:rsidR="00275F30" w:rsidRPr="0062784B" w:rsidRDefault="0026210A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26210A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4" w:name="_Hlk52118902"/>
      <w:bookmarkEnd w:id="23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26210A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4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5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26210A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5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26210A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26210A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26210A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26210A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26210A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26210A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26210A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26210A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26210A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26210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26210A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26210A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26210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26210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26210A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26210A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26210A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393A5" w14:textId="77777777" w:rsidR="008E2CC6" w:rsidRDefault="008E2CC6" w:rsidP="00DF256D">
      <w:pPr>
        <w:spacing w:after="0" w:line="240" w:lineRule="auto"/>
      </w:pPr>
      <w:r>
        <w:separator/>
      </w:r>
    </w:p>
  </w:endnote>
  <w:endnote w:type="continuationSeparator" w:id="0">
    <w:p w14:paraId="674B9100" w14:textId="77777777" w:rsidR="008E2CC6" w:rsidRDefault="008E2CC6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A22C7" w14:textId="77777777" w:rsidR="008E2CC6" w:rsidRDefault="008E2CC6" w:rsidP="00DF256D">
      <w:pPr>
        <w:spacing w:after="0" w:line="240" w:lineRule="auto"/>
      </w:pPr>
      <w:r>
        <w:separator/>
      </w:r>
    </w:p>
  </w:footnote>
  <w:footnote w:type="continuationSeparator" w:id="0">
    <w:p w14:paraId="3B96936D" w14:textId="77777777" w:rsidR="008E2CC6" w:rsidRDefault="008E2CC6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117F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1F7916"/>
    <w:rsid w:val="002330D1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CA1"/>
    <w:rsid w:val="008E2CC6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43A0C"/>
    <w:rsid w:val="00B536F6"/>
    <w:rsid w:val="00B71217"/>
    <w:rsid w:val="00B87E25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24</Pages>
  <Words>4170</Words>
  <Characters>22936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Santiago Castaño Salas</cp:lastModifiedBy>
  <cp:revision>26</cp:revision>
  <dcterms:created xsi:type="dcterms:W3CDTF">2020-10-08T21:45:00Z</dcterms:created>
  <dcterms:modified xsi:type="dcterms:W3CDTF">2020-11-21T19:44:00Z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