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D11B93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24D60B19" w:rsidR="00071A50" w:rsidRPr="00A53809" w:rsidRDefault="00D11B93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D11B93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D11B93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D11B93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D11B93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D11B93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D11B93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D11B93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D11B93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665DE29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378767A4" w14:textId="46EE2E9B" w:rsidR="00330A74" w:rsidRPr="00525FBD" w:rsidRDefault="00D11B93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D11B93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D11B93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D11B93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D11B93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73744112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D11B93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D11B93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37FAAE63" w:rsidR="00E86E86" w:rsidRPr="00330A74" w:rsidRDefault="00D11B93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D11B93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D11B93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D11B93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8843104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635E87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Effective v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7348E1" w:rsidRDefault="00D11B93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D11B93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D5200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C93696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D11B93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D11B9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D11B9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D11B9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D11B93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D11B93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D11B93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D11B93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D11B93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D11B93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D11B93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D11B93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D11B93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D11B93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D11B93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D11B93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D11B93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D11B93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D11B93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D11B93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D11B93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D11B93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D11B93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D11B93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D11B93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D11B93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D11B93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D11B93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D11B93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74F4D0DC" w:rsidR="005E1D34" w:rsidRPr="00635E87" w:rsidRDefault="00635E87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73C49FDB" w:rsidR="005E1D34" w:rsidRPr="004A332E" w:rsidRDefault="004A332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χ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3C64576D" w:rsidR="00163C2E" w:rsidRPr="00163C2E" w:rsidRDefault="00163C2E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1+θ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5D729B95" w14:textId="46E8840B" w:rsidR="00163C2E" w:rsidRPr="00DE5DA9" w:rsidRDefault="00163C2E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1AA29B18" w14:textId="6352630D" w:rsidR="00540C83" w:rsidRPr="00163C2E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trike/>
          <w:sz w:val="24"/>
          <w:szCs w:val="24"/>
          <w:highlight w:val="cyan"/>
          <w:lang w:val="en-GB"/>
        </w:rPr>
      </w:pPr>
      <w:r w:rsidRPr="00163C2E">
        <w:rPr>
          <w:rFonts w:ascii="Times New Roman" w:eastAsiaTheme="minorEastAsia" w:hAnsi="Times New Roman" w:cs="Times New Roman"/>
          <w:i/>
          <w:iCs/>
          <w:strike/>
          <w:sz w:val="24"/>
          <w:szCs w:val="24"/>
          <w:highlight w:val="cyan"/>
          <w:lang w:val="en-GB"/>
        </w:rPr>
        <w:t xml:space="preserve">Cross border lending demanded </w:t>
      </w:r>
    </w:p>
    <w:p w14:paraId="6A785838" w14:textId="60A4501F" w:rsidR="00DE5DA9" w:rsidRPr="00163C2E" w:rsidRDefault="00DE5DA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trike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trike/>
              <w:sz w:val="24"/>
              <w:szCs w:val="24"/>
              <w:highlight w:val="cyan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trike/>
                  <w:sz w:val="24"/>
                  <w:szCs w:val="24"/>
                  <w:highlight w:val="cyan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theme="minorHAnsi"/>
              <w:strike/>
              <w:sz w:val="24"/>
              <w:szCs w:val="24"/>
              <w:highlight w:val="cy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trike/>
                  <w:sz w:val="24"/>
                  <w:szCs w:val="24"/>
                  <w:highlight w:val="cyan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trike/>
                      <w:sz w:val="24"/>
                      <w:szCs w:val="24"/>
                      <w:highlight w:val="cyan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trike/>
                      <w:sz w:val="24"/>
                      <w:szCs w:val="24"/>
                      <w:highlight w:val="cy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theme="minorHAnsi"/>
              <w:strike/>
              <w:sz w:val="24"/>
              <w:szCs w:val="24"/>
              <w:highlight w:val="cy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trike/>
                  <w:sz w:val="24"/>
                  <w:szCs w:val="24"/>
                  <w:highlight w:val="cyan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trike/>
                  <w:sz w:val="24"/>
                  <w:szCs w:val="24"/>
                  <w:highlight w:val="cyan"/>
                  <w:lang w:val="en-GB"/>
                </w:rPr>
                <m:t>FX</m:t>
              </m:r>
            </m:sup>
          </m:sSubSup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D11B93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1945377E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loans.</w:t>
      </w:r>
    </w:p>
    <w:p w14:paraId="510300C6" w14:textId="5C50909F" w:rsidR="00DE5DA9" w:rsidRPr="00DE5DA9" w:rsidRDefault="00D11B93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D11B93" w:rsidP="007229C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sup>
        </m:sSubSup>
      </m:oMath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D11B93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D11B9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D11B93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D11B93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central bank loans in foreign currency</w:t>
      </w:r>
    </w:p>
    <w:p w14:paraId="1B690FEE" w14:textId="05F33A6F" w:rsidR="004E3423" w:rsidRDefault="00D11B93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D11B93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w:lastRenderedPageBreak/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D11B93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End w:id="4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6" w:name="_Hlk52120737"/>
      <w:bookmarkEnd w:id="5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D11B93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D11B93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D11B93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D11B93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D11B93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D11B93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D11B93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D11B93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6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r w:rsidR="008D2559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ank profits</w:t>
      </w:r>
    </w:p>
    <w:p w14:paraId="00D7B0CF" w14:textId="67483A98" w:rsidR="0081696C" w:rsidRPr="00B43A0C" w:rsidRDefault="00D11B93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63747923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p w14:paraId="4CD16DA5" w14:textId="3D5E14E3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</m:oMath>
      </m:oMathPara>
    </w:p>
    <w:p w14:paraId="3B8BB4A0" w14:textId="2948E8B3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World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portfolio</w:t>
      </w:r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flows</w:t>
      </w:r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3C9E62B9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world portfolio flows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entering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bookmarkStart w:id="17" w:name="_Hlk52119764"/>
    <w:bookmarkEnd w:id="16"/>
    <w:p w14:paraId="6EF478EF" w14:textId="7BA04AB3" w:rsidR="00333DE1" w:rsidRPr="00981316" w:rsidRDefault="00D11B93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lastRenderedPageBreak/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D11B93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D11B93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2B61100F" w14:textId="520BB614" w:rsidR="0032123E" w:rsidRPr="008D3642" w:rsidRDefault="008D3642" w:rsidP="008D3642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D36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nominal exchange rate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D11B93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15494D0E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A09696D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D11B93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3BED5F64" w:rsidR="00A020DC" w:rsidRPr="006E255C" w:rsidRDefault="00D11B93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Bank’s equities accumulation by the rest of the world. </w:t>
      </w:r>
    </w:p>
    <w:p w14:paraId="4DCC7A61" w14:textId="7F1D7C17" w:rsidR="00847FCC" w:rsidRPr="00847FCC" w:rsidRDefault="00D11B93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D11B93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Firm’s equities accumulation by the households.</w:t>
      </w:r>
    </w:p>
    <w:p w14:paraId="34B042A0" w14:textId="55D402BB" w:rsidR="002920DA" w:rsidRPr="002920DA" w:rsidRDefault="00D11B93" w:rsidP="002920D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4179A40A" w14:textId="21998084" w:rsidR="002920DA" w:rsidRPr="002920DA" w:rsidRDefault="00D11B93" w:rsidP="002920DA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</m:oMath>
      </m:oMathPara>
    </w:p>
    <w:p w14:paraId="0895A1B1" w14:textId="3F9EBFEF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Banks’s equities accumulation by the households.</w:t>
      </w:r>
    </w:p>
    <w:p w14:paraId="369DA77D" w14:textId="1A914F95" w:rsidR="002920DA" w:rsidRPr="002920DA" w:rsidRDefault="00D11B93" w:rsidP="002920DA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50337288" w14:textId="156E2D13" w:rsidR="00847FCC" w:rsidRPr="002920DA" w:rsidRDefault="00D11B93" w:rsidP="002920DA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6296962B" w14:textId="056A0AF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demand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 </w:t>
      </w:r>
    </w:p>
    <w:p w14:paraId="1F1A5B4D" w14:textId="2F978358" w:rsidR="00061910" w:rsidRPr="00061910" w:rsidRDefault="00D11B93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D11B93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D11B93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D11B93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D11B93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D11B93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7E3CE441" w:rsidR="00275F30" w:rsidRPr="00A020DC" w:rsidRDefault="00D11B93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=φ∙Rem</m:t>
          </m:r>
        </m:oMath>
      </m:oMathPara>
    </w:p>
    <w:bookmarkEnd w:id="23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D11B93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D11B93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D11B93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D11B93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D11B93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D11B93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D11B93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D11B93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D11B93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D11B93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D11B93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D11B93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D11B93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D11B93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D11B93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D11B93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6C18F" w14:textId="77777777" w:rsidR="00766A88" w:rsidRDefault="00766A88" w:rsidP="00DF256D">
      <w:pPr>
        <w:spacing w:after="0" w:line="240" w:lineRule="auto"/>
      </w:pPr>
      <w:r>
        <w:separator/>
      </w:r>
    </w:p>
  </w:endnote>
  <w:endnote w:type="continuationSeparator" w:id="0">
    <w:p w14:paraId="10AE33FF" w14:textId="77777777" w:rsidR="00766A88" w:rsidRDefault="00766A88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2A031" w14:textId="77777777" w:rsidR="00766A88" w:rsidRDefault="00766A88" w:rsidP="00DF256D">
      <w:pPr>
        <w:spacing w:after="0" w:line="240" w:lineRule="auto"/>
      </w:pPr>
      <w:r>
        <w:separator/>
      </w:r>
    </w:p>
  </w:footnote>
  <w:footnote w:type="continuationSeparator" w:id="0">
    <w:p w14:paraId="414E1DE4" w14:textId="77777777" w:rsidR="00766A88" w:rsidRDefault="00766A88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7A53"/>
    <w:rsid w:val="00287B67"/>
    <w:rsid w:val="002920DA"/>
    <w:rsid w:val="002B06B6"/>
    <w:rsid w:val="002D1AE9"/>
    <w:rsid w:val="002D3FC4"/>
    <w:rsid w:val="002E45E9"/>
    <w:rsid w:val="002F1E40"/>
    <w:rsid w:val="0032123E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3E421B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32E"/>
    <w:rsid w:val="004A3BC8"/>
    <w:rsid w:val="004B1C17"/>
    <w:rsid w:val="004D5A11"/>
    <w:rsid w:val="004E3423"/>
    <w:rsid w:val="00525FBD"/>
    <w:rsid w:val="00527ADD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E1D34"/>
    <w:rsid w:val="0061678C"/>
    <w:rsid w:val="0062784B"/>
    <w:rsid w:val="00635E87"/>
    <w:rsid w:val="006644AC"/>
    <w:rsid w:val="00666F37"/>
    <w:rsid w:val="00686CE1"/>
    <w:rsid w:val="006A6787"/>
    <w:rsid w:val="006A6CDD"/>
    <w:rsid w:val="006A7D40"/>
    <w:rsid w:val="006C11CB"/>
    <w:rsid w:val="006C1610"/>
    <w:rsid w:val="006D3136"/>
    <w:rsid w:val="006D3BE5"/>
    <w:rsid w:val="006E1E36"/>
    <w:rsid w:val="006E255C"/>
    <w:rsid w:val="006E67E7"/>
    <w:rsid w:val="007075FF"/>
    <w:rsid w:val="007135A0"/>
    <w:rsid w:val="00720746"/>
    <w:rsid w:val="00721CBE"/>
    <w:rsid w:val="007229C3"/>
    <w:rsid w:val="007348E1"/>
    <w:rsid w:val="00737360"/>
    <w:rsid w:val="0076033A"/>
    <w:rsid w:val="00766A88"/>
    <w:rsid w:val="00793D12"/>
    <w:rsid w:val="0079627C"/>
    <w:rsid w:val="007B22F8"/>
    <w:rsid w:val="007E6242"/>
    <w:rsid w:val="00814B05"/>
    <w:rsid w:val="0081696C"/>
    <w:rsid w:val="008306D7"/>
    <w:rsid w:val="00847FCC"/>
    <w:rsid w:val="00850EC8"/>
    <w:rsid w:val="0085644B"/>
    <w:rsid w:val="00865086"/>
    <w:rsid w:val="00870906"/>
    <w:rsid w:val="008735EB"/>
    <w:rsid w:val="00875E71"/>
    <w:rsid w:val="008802A3"/>
    <w:rsid w:val="00891A36"/>
    <w:rsid w:val="008C27F5"/>
    <w:rsid w:val="008D2559"/>
    <w:rsid w:val="008D3642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0226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1430C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23</Pages>
  <Words>3981</Words>
  <Characters>21899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7</cp:revision>
  <dcterms:created xsi:type="dcterms:W3CDTF">2020-10-08T21:45:00Z</dcterms:created>
  <dcterms:modified xsi:type="dcterms:W3CDTF">2020-10-29T03:04:00Z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