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footerReference w:type="default" r:id="rId9"/>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pStyle w:val="Heading2"/>
      </w:pPr>
      <w:r>
        <w:t>2.1. Antecedentes de la investigación</w:t>
      </w:r>
    </w:p>
    <w:p>
      <w:pPr>
        <w:spacing w:line="360" w:lineRule="auto" w:before="0" w:after="120"/>
        <w:jc w:val="both"/>
      </w:pPr>
      <w:r/>
      <w:r>
        <w:rPr>
          <w:rFonts w:ascii="Times New Roman" w:hAnsi="Times New Roman"/>
          <w:i w:val="0"/>
          <w:color w:val="000000"/>
          <w:sz w:val="24"/>
        </w:rPr>
        <w:t xml:space="preserve">Espinosa-Luna et al. (2023) desarrollaron y evaluaron la usabilidad de un chatbot conversacional basado en el modelo de lenguaje GPT-3.5-Turbo para la atención de preguntas frecuentes de estudiantes de primer ciclo de Ingeniería de Sistemas en la Universidad Nacional de Trujillo. La arquitectura del sistema fue implementada bajo un esquema </w:t>
      </w:r>
      <w:r>
        <w:rPr>
          <w:rFonts w:ascii="Times New Roman" w:hAnsi="Times New Roman"/>
          <w:i/>
          <w:color w:val="000000"/>
          <w:sz w:val="24"/>
        </w:rPr>
        <w:t>serverless</w:t>
      </w:r>
      <w:r>
        <w:rPr>
          <w:rFonts w:ascii="Times New Roman" w:hAnsi="Times New Roman"/>
          <w:i w:val="0"/>
          <w:color w:val="000000"/>
          <w:sz w:val="24"/>
        </w:rPr>
        <w:t xml:space="preserve"> en la nube mediante la plataforma Render, empleando una API REST construida con Node.js y Express, una base de datos en MongoDB Atlas para el repositorio de información académica y la API de WhatsApp Cloud configurada mediante </w:t>
      </w:r>
      <w:r>
        <w:rPr>
          <w:rFonts w:ascii="Times New Roman" w:hAnsi="Times New Roman"/>
          <w:i/>
          <w:color w:val="000000"/>
          <w:sz w:val="24"/>
        </w:rPr>
        <w:t>webhooks</w:t>
      </w:r>
      <w:r>
        <w:rPr>
          <w:rFonts w:ascii="Times New Roman" w:hAnsi="Times New Roman"/>
          <w:i w:val="0"/>
          <w:color w:val="000000"/>
          <w:sz w:val="24"/>
        </w:rPr>
        <w:t>, aplicando técnicas de ingeniería de peticiones (</w:t>
      </w:r>
      <w:r>
        <w:rPr>
          <w:rFonts w:ascii="Times New Roman" w:hAnsi="Times New Roman"/>
          <w:i/>
          <w:color w:val="000000"/>
          <w:sz w:val="24"/>
        </w:rPr>
        <w:t>prompt engineering</w:t>
      </w:r>
      <w:r>
        <w:rPr>
          <w:rFonts w:ascii="Times New Roman" w:hAnsi="Times New Roman"/>
          <w:i w:val="0"/>
          <w:color w:val="000000"/>
          <w:sz w:val="24"/>
        </w:rPr>
        <w:t>) para delimitar el contexto de las respuestas. Mediante un diseño preexperimental con enfoque cuantitativo, la solución se evaluó con una muestra de 41 estudiantes que interactuaron con el asistente durante cinco días y completaron el instrumento CUQ (</w:t>
      </w:r>
      <w:r>
        <w:rPr>
          <w:rFonts w:ascii="Times New Roman" w:hAnsi="Times New Roman"/>
          <w:i/>
          <w:color w:val="000000"/>
          <w:sz w:val="24"/>
        </w:rPr>
        <w:t>Chatbot Usability Questionnaire</w:t>
      </w:r>
      <w:r>
        <w:rPr>
          <w:rFonts w:ascii="Times New Roman" w:hAnsi="Times New Roman"/>
          <w:i w:val="0"/>
          <w:color w:val="000000"/>
          <w:sz w:val="24"/>
        </w:rPr>
        <w:t>). Como resultado, el chatbot obtuvo una usabilidad media de 73,40 puntos (DE = 10,10), situándose en un nivel aceptable (grado B-) y estadísticamente superior al umbral estándar de referencia de 68 puntos mediante la prueba T de Student (t = 3,396; p = 0,002); asimismo, el 93% de los participantes calificó las respuestas como útiles, destacando puntuaciones altas en facilidad de uso (4,29/5) y navegación (4,22/5). La investigación concluyó que los modelos LLM integrados a servicios de mensajería instantánea optimizan la atención y disponibilidad de soporte al estudiante, recomendando incorporar técnicas de ajuste fino (</w:t>
      </w:r>
      <w:r>
        <w:rPr>
          <w:rFonts w:ascii="Times New Roman" w:hAnsi="Times New Roman"/>
          <w:i/>
          <w:color w:val="000000"/>
          <w:sz w:val="24"/>
        </w:rPr>
        <w:t>fine-tuning</w:t>
      </w:r>
      <w:r>
        <w:rPr>
          <w:rFonts w:ascii="Times New Roman" w:hAnsi="Times New Roman"/>
          <w:i w:val="0"/>
          <w:color w:val="000000"/>
          <w:sz w:val="24"/>
        </w:rPr>
        <w:t>) para reducir patrones de respuesta robóticos e incrementar la naturalidad conversacional.</w:t>
      </w:r>
    </w:p>
    <w:p>
      <w:pPr>
        <w:spacing w:line="360" w:lineRule="auto" w:before="0" w:after="120"/>
        <w:jc w:val="both"/>
      </w:pPr>
      <w:r/>
      <w:r>
        <w:rPr>
          <w:rFonts w:ascii="Times New Roman" w:hAnsi="Times New Roman"/>
          <w:i w:val="0"/>
          <w:color w:val="000000"/>
          <w:sz w:val="24"/>
        </w:rPr>
        <w:t>Anaya y Rodríguez (2026) desarrollaron e implementaron un chatbot conversacional basado en inteligencia artificial para el Área de Admisión de la Universidad Nacional Pedro Ruiz Gallo, con el propósito de optimizar la eficiencia operativa y la calidad de las respuestas ante las consultas frecuentes de los postulantes. La investigación siguió un diseño cuasiexperimental de enfoque aplicado y alcance exploratorio, integrando el modelo de lenguaje GPT-3.5 Turbo mediante la API de Asistentes de OpenAI bajo un esquema de generación aumentada por recuperación (RAG) con indexación vectorial (</w:t>
      </w:r>
      <w:r>
        <w:rPr>
          <w:rFonts w:ascii="Times New Roman" w:hAnsi="Times New Roman"/>
          <w:i/>
          <w:color w:val="000000"/>
          <w:sz w:val="24"/>
        </w:rPr>
        <w:t>vector store</w:t>
      </w:r>
      <w:r>
        <w:rPr>
          <w:rFonts w:ascii="Times New Roman" w:hAnsi="Times New Roman"/>
          <w:i w:val="0"/>
          <w:color w:val="000000"/>
          <w:sz w:val="24"/>
        </w:rPr>
        <w:t xml:space="preserve">). El componente del backend se construyó como una API REST en Node.js y Express desplegada en la nube sobre Render, interconectada en tiempo real con la API de WhatsApp Cloud de Meta a través de </w:t>
      </w:r>
      <w:r>
        <w:rPr>
          <w:rFonts w:ascii="Times New Roman" w:hAnsi="Times New Roman"/>
          <w:i/>
          <w:color w:val="000000"/>
          <w:sz w:val="24"/>
        </w:rPr>
        <w:t>webhooks</w:t>
      </w:r>
      <w:r>
        <w:rPr>
          <w:rFonts w:ascii="Times New Roman" w:hAnsi="Times New Roman"/>
          <w:i w:val="0"/>
          <w:color w:val="000000"/>
          <w:sz w:val="24"/>
        </w:rPr>
        <w:t>, empleando como base de conocimiento el prospecto de admisión y el banco de preguntas institucionales debidamente depurados y normalizados. La solución fue evaluada mediante una validación comparativa frente a la documentación oficial bajo criterios de exactitud, relevancia y claridad, alcanzando una precisión del 75% en respuestas correctas (15 de 20 consultas temáticas evaluadas) y reduciendo el tiempo de atención a escasos segundos sin intervención humana; asimismo, se constató que el modelo procesó con mayor fidelidad los datos presentados en texto plano en comparación con los extraídos de tablas o imágenes. Los autores concluyeron que el chatbot constituye una alternativa funcional, escalable y de bajo costo para agilizar la atención preuniversitaria, recomendando estructurar la información institucional en formatos planos para maximizar la efectividad de la recuperación semántica.</w:t>
      </w:r>
    </w:p>
    <w:p>
      <w:pPr>
        <w:spacing w:line="360" w:lineRule="auto" w:before="0" w:after="120"/>
        <w:jc w:val="both"/>
      </w:pPr>
      <w:r/>
      <w:r>
        <w:rPr>
          <w:rFonts w:ascii="Times New Roman" w:hAnsi="Times New Roman"/>
          <w:i w:val="0"/>
          <w:color w:val="000000"/>
          <w:sz w:val="24"/>
        </w:rPr>
        <w:t xml:space="preserve">Veliz y Velásquez (2024) implementaron un asistente virtual conversacional mediante un chatbot interactivo integrado a WhatsApp con el objetivo de optimizar la atención de consultas sobre los procesos de gestión académica para estudiantes y egresados de la Universidad Nacional Pedro Ruiz Gallo (UNPRG). La investigación se desarrolló bajo un enfoque cuantitativo-descriptivo de tipo aplicado y diseño preexperimental con mediciones diagnósticas previas y posteriores a la intervención tecnológica, gestionando el ciclo de desarrollo de software a través del marco de trabajo ágil Scrum (estructurado en cuatro Sprints, seis historias de usuario y 29 tareas monitoreadas con tableros Kanban y gráficos de </w:t>
      </w:r>
      <w:r>
        <w:rPr>
          <w:rFonts w:ascii="Times New Roman" w:hAnsi="Times New Roman"/>
          <w:i/>
          <w:color w:val="000000"/>
          <w:sz w:val="24"/>
        </w:rPr>
        <w:t>Burndown</w:t>
      </w:r>
      <w:r>
        <w:rPr>
          <w:rFonts w:ascii="Times New Roman" w:hAnsi="Times New Roman"/>
          <w:i w:val="0"/>
          <w:color w:val="000000"/>
          <w:sz w:val="24"/>
        </w:rPr>
        <w:t xml:space="preserve">). A nivel arquitectónico, la solución se programó en lenguaje Python utilizando librerías como Flask y Pandas, estructurando una base de conocimiento en hojas de cálculo (Microsoft Excel) organizada en árboles temáticos sobre planes de estudio, convalidaciones, matrículas, actas, exámenes y expedición de grados y títulos; asimismo, el entorno operativo integró los servicios en la nube de Twilio para la mensajería de WhatsApp, conectándose al servidor local mediante un túnel de proxy inverso seguro con Ngrok para el procesamiento de peticiones vía </w:t>
      </w:r>
      <w:r>
        <w:rPr>
          <w:rFonts w:ascii="Times New Roman" w:hAnsi="Times New Roman"/>
          <w:i/>
          <w:color w:val="000000"/>
          <w:sz w:val="24"/>
        </w:rPr>
        <w:t>webhooks</w:t>
      </w:r>
      <w:r>
        <w:rPr>
          <w:rFonts w:ascii="Times New Roman" w:hAnsi="Times New Roman"/>
          <w:i w:val="0"/>
          <w:color w:val="000000"/>
          <w:sz w:val="24"/>
        </w:rPr>
        <w:t>. La evaluación se contrastó aplicando una encuesta diagnóstica inicial a 300 alumnos y una encuesta post-implementación a una muestra de 307 estudiantes de la Facultad de Ciencias Físicas y Matemáticas que utilizaron el sistema, evaluando las dimensiones de usabilidad (eficacia, eficiencia y satisfacción) y experiencia de usuario (facilidad de aprendizaje y nivel de aceptación) bajo escala Likert. Como resultados cuantitativos principales, la satisfacción estudiantil con el acceso a la información académica aumentó de un 48,70% inicial en los canales tradicionales a un 89,45% tras la puesta en marcha del asistente virtual; a nivel dimensional, la usabilidad alcanzó un promedio general del 86,80% (con 84,85% en eficacia, 89,40% en eficiencia y 86,15% en satisfacción), destacando que el 90,50% de los encuestados afirmó haber obtenido respuesta de forma inmediata y el 86,00% logró resolver sus dudas con éxito. Paralelamente, la dimensión de experiencia registró un 89,45% favorable (87,00% en facilidad de aprendizaje y 91,80% en aceptación), con un 91,20% de disposición a recomendar el uso de la herramienta. Los autores concluyeron que la automatización de consultas mediante mensajería instantánea descongestiona significativamente los módulos de atención presencial y estandariza la orientación universitaria, recomendando migrar el asistente a servidores dedicados de la universidad y designar personal técnico permanente para actualizar periódicamente el repositorio normativo institucional.</w:t>
      </w:r>
    </w:p>
    <w:p>
      <w:pPr>
        <w:spacing w:line="360" w:lineRule="auto" w:before="0" w:after="120"/>
        <w:jc w:val="both"/>
      </w:pPr>
      <w:r/>
      <w:r>
        <w:rPr>
          <w:rFonts w:ascii="Times New Roman" w:hAnsi="Times New Roman"/>
          <w:i w:val="0"/>
          <w:color w:val="000000"/>
          <w:sz w:val="24"/>
        </w:rPr>
        <w:t>Carrizales y Ramirez (2019) diseñaron e implementaron una arquitectura tecnológica basada en un chatbot cognitivo con la finalidad de optimizar el acceso y la búsqueda de información institucional en el Sistema Integrado de la Calidad (SICA) de la Universidad Peruana de Ciencias Aplicadas. El desarrollo metodológico se estructuró a partir del marco de referencia CCRA V4.0 (</w:t>
      </w:r>
      <w:r>
        <w:rPr>
          <w:rFonts w:ascii="Times New Roman" w:hAnsi="Times New Roman"/>
          <w:i/>
          <w:color w:val="000000"/>
          <w:sz w:val="24"/>
        </w:rPr>
        <w:t>Cloud Computing Reference Architecture</w:t>
      </w:r>
      <w:r>
        <w:rPr>
          <w:rFonts w:ascii="Times New Roman" w:hAnsi="Times New Roman"/>
          <w:i w:val="0"/>
          <w:color w:val="000000"/>
          <w:sz w:val="24"/>
        </w:rPr>
        <w:t xml:space="preserve">) complementado con buenas prácticas del PMBOK, seleccionando a IBM Cloud como proveedor principal tras un análisis comparativo de plataformas. La solución integró servicios cognitivos de IBM Watson (Watson Assistant para la gestión del diálogo y Watson Discovery para la indización y recuperación de documentos normativos, reglamentos y políticas), incorporando además capacidades de voz con </w:t>
      </w:r>
      <w:r>
        <w:rPr>
          <w:rFonts w:ascii="Times New Roman" w:hAnsi="Times New Roman"/>
          <w:i/>
          <w:color w:val="000000"/>
          <w:sz w:val="24"/>
        </w:rPr>
        <w:t>Speech to Text</w:t>
      </w:r>
      <w:r>
        <w:rPr>
          <w:rFonts w:ascii="Times New Roman" w:hAnsi="Times New Roman"/>
          <w:i w:val="0"/>
          <w:color w:val="000000"/>
          <w:sz w:val="24"/>
        </w:rPr>
        <w:t xml:space="preserve"> y </w:t>
      </w:r>
      <w:r>
        <w:rPr>
          <w:rFonts w:ascii="Times New Roman" w:hAnsi="Times New Roman"/>
          <w:i/>
          <w:color w:val="000000"/>
          <w:sz w:val="24"/>
        </w:rPr>
        <w:t>Text to Speech</w:t>
      </w:r>
      <w:r>
        <w:rPr>
          <w:rFonts w:ascii="Times New Roman" w:hAnsi="Times New Roman"/>
          <w:i w:val="0"/>
          <w:color w:val="000000"/>
          <w:sz w:val="24"/>
        </w:rPr>
        <w:t xml:space="preserve"> sobre una interfaz web con intercambio de mensajes bajo el formato JSON. Tras una fase de diagnóstico donde más del 80% de los usuarios manifestó demoras superiores a los 3 minutos en el portal tradicional, el prototipo se evaluó durante un mes en el que registró 278 conversaciones y 1325 mensajes (con un promedio de 4,77 mensajes por sesión). La validación mediante encuesta aplicada a personal administrativo y auditores internos evidenció que el 89,5% consideró óptimo el tiempo de respuesta, el 89,4% destacó su facilidad de uso, el 63,2% valoró positivamente su interactividad y eficacia, alcanzando un 63,1% de satisfacción general; asimismo, se constató un incremento del 65% en la confianza del sistema y un aumento del 85,4% en la experiencia de usuario. La investigación concluyó que una arquitectura en la nube fundamentada en servicios cognitivos optimiza sustancialmente la gestión documental académica en contraste con los motores de búsqueda tradicionales, recomendando una adecuada gestión de incidentes bajo ITIL y la previsión de costos de licenciamiento para garantizar la disponibilidad continua del servicio.</w:t>
      </w:r>
    </w:p>
    <w:p>
      <w:pPr>
        <w:spacing w:line="360" w:lineRule="auto" w:before="0" w:after="120"/>
        <w:jc w:val="both"/>
      </w:pPr>
      <w:r/>
      <w:r>
        <w:rPr>
          <w:rFonts w:ascii="Times New Roman" w:hAnsi="Times New Roman"/>
          <w:i w:val="0"/>
          <w:color w:val="000000"/>
          <w:sz w:val="24"/>
        </w:rPr>
        <w:t>Choque (2018) implementó un modelo de tecnología cognitiva complementado con patrones de experiencia del cliente (</w:t>
      </w:r>
      <w:r>
        <w:rPr>
          <w:rFonts w:ascii="Times New Roman" w:hAnsi="Times New Roman"/>
          <w:i/>
          <w:color w:val="000000"/>
          <w:sz w:val="24"/>
        </w:rPr>
        <w:t>Customer Experience</w:t>
      </w:r>
      <w:r>
        <w:rPr>
          <w:rFonts w:ascii="Times New Roman" w:hAnsi="Times New Roman"/>
          <w:i w:val="0"/>
          <w:color w:val="000000"/>
          <w:sz w:val="24"/>
        </w:rPr>
        <w:t xml:space="preserve"> - CX) para optimizar los servicios de soporte académico mediante un chatbot en el área de Canales de Contacto de la Universidad Peruana de Ciencias Aplicadas. La propuesta se estructuró a partir de un flujo metodológico de cinco fases (captura, comprensión de lenguaje natural, gestión del diálogo, generación de respuesta y consumo), gestionado bajo los lineamientos del PMBOK e integrado conceptualmente con ITIL v3 para el soporte operativo. A nivel técnico, la solución se desplegó sobre la plataforma en la nube IBM Cloud, utilizando JavaScript para el desarrollo del aplicativo web y conectándose con la API Watson Conversation para el procesamiento de lenguaje natural, en cuyo entorno se modelaron intenciones, entidades y flujos de diálogo gobernados por reglas de negocio y patrones CX (marca, emoción y función). La validación se llevó a cabo mediante una prueba de concepto con una muestra de 50 estudiantes universitarios de diversas carreras y a través del juicio de expertos con analistas y directivos del área de Calidad y Servicios. Como resultados principales, el asistente redujo en más del 99,9% el tiempo de espera por consulta (pasando del estándar institucional de hasta 48 horas a menos de medio segundo de respuesta inmediata) y alcanzó un 80% de aprobación estudiantil para su adopción como canal oficial de atención; asimismo, evaluaciones previas de usabilidad situaron a la herramienta en 81,875 puntos en la escala SUS (</w:t>
      </w:r>
      <w:r>
        <w:rPr>
          <w:rFonts w:ascii="Times New Roman" w:hAnsi="Times New Roman"/>
          <w:i/>
          <w:color w:val="000000"/>
          <w:sz w:val="24"/>
        </w:rPr>
        <w:t>System Usability Scale</w:t>
      </w:r>
      <w:r>
        <w:rPr>
          <w:rFonts w:ascii="Times New Roman" w:hAnsi="Times New Roman"/>
          <w:i w:val="0"/>
          <w:color w:val="000000"/>
          <w:sz w:val="24"/>
        </w:rPr>
        <w:t>). La investigación concluyó que la combinación de computación cognitiva y patrones de interacción centrados en la experiencia del usuario mitiga la frialdad y las demoras de las plataformas universitarias tradicionales, demostrando viabilidad técnica y aceptabilidad institucional para la atención de procesos críticos como la matrícula.</w:t>
      </w:r>
    </w:p>
    <w:p>
      <w:pPr>
        <w:spacing w:line="360" w:lineRule="auto" w:before="0" w:after="120"/>
        <w:jc w:val="both"/>
      </w:pPr>
      <w:r/>
      <w:r>
        <w:rPr>
          <w:rFonts w:ascii="Times New Roman" w:hAnsi="Times New Roman"/>
          <w:i w:val="0"/>
          <w:color w:val="000000"/>
          <w:sz w:val="24"/>
        </w:rPr>
        <w:t>Musayón (2023) determinó el impacto de un agente conversacional basado en inteligencia artificial en el proceso de atención de los estudiantes de la Universidad Nacional Toribio Rodríguez de Mendoza de Amazonas (filial Bagua). La investigación se desarrolló bajo un enfoque cuantitativo, de tipo aplicado y diseño preexperimental con mediciones de pretest y postest en un solo grupo, aplicándose a una muestra probabilística de 132 alumnos matriculados en la Facultad de Ingeniería de Sistemas y Mecánica Eléctrica. A nivel tecnológico, la solución integró un modelo de lenguaje de gran escala (LLM) de OpenAI (ChatGPT) interconectado con el portal web institucional mediante una arquitectura compuesta por módulos de procesamiento y generación de lenguaje natural (NLP/NLG), un gestor de diálogo y una base de conocimientos alimentada con el corpus de preguntas frecuentes y reglamentos normativos de la entidad. Para la recolección de datos se emplearon fichas de observación validadas por juicio de expertos, analizando tres dimensiones operativas: expectativa del usuario, interacción y calidad del servicio. Tras el análisis inferencial mediante la prueba de rangos con signo de Wilcoxon (p = 0,000), se demostraron diferencias estadísticamente significativas: el primer tiempo promedio de respuesta descendió de 626,72 minutos a 0,0909 minutos (con una mediana reducida de 15 minutos a escasos 0,09 minutos, equivalentes a ~5,4 segundos), el tiempo de resolución cayó de una media de 850,67 minutos a 2,363 minutos (mediana disminuida de 30 a 2 minutos) y el índice de satisfacción global del estudiante aumentó de 68,13% a 86,65% (mediana incrementada del 75% al 90%). La investigación concluyó que los chatbots basados en IA transforman favorablemente los canales de atención universitaria al suprimir los tiempos de espera y brindar resolución casi inmediata a consultas académicas críticas, recomendando la delimitación y mantenimiento continuo de la base de datos documental para conservar la precisión del agente.</w:t>
      </w:r>
    </w:p>
    <w:p>
      <w:pPr>
        <w:spacing w:line="360" w:lineRule="auto" w:before="0" w:after="120"/>
        <w:jc w:val="both"/>
      </w:pPr>
      <w:r/>
      <w:r>
        <w:rPr>
          <w:rFonts w:ascii="Times New Roman" w:hAnsi="Times New Roman"/>
          <w:i w:val="0"/>
          <w:color w:val="000000"/>
          <w:sz w:val="24"/>
        </w:rPr>
        <w:t>Lopez y Segura (2023) desarrollaron un chatbot con inteligencia artificial orientado a optimizar la calidad en la atención de consultas sobre grados académicos y títulos para estudiantes y egresados del Instituto para la Calidad de la Educación de la Universidad de San Martín de Porres (USMP-ICED). La investigación correspondió a un estudio de tipo aplicado bajo un enfoque cuantitativo, gestionando el ciclo de desarrollo del proyecto mediante el marco de trabajo Kanban. En el aspecto tecnológico, el asistente se construyó con Node.js y JavaScript, incorporando técnicas de Procesamiento de Lenguaje Natural (NLP) a través de la herramienta Google Dialogflow para asegurar la identificación precisa de intenciones, entidades y el contexto de las consultas a partir de un banco estructurado de preguntas frecuentes. La validación del sistema contempló pruebas funcionales y una evaluación de usabilidad fundamentada en la norma ISO/IEC 25010, complementada con el análisis de la calidad de servicio mediante el modelo multidimensional SERVQUAL, el cual examinó las brechas en capacidad de respuesta (tiempo de respuesta), confiabilidad (precisión y eficiencia conversacional) y empatía. Como resultados principales, el aplicativo obtuvo una puntuación de usabilidad de 8,89 sobre 10 bajo el estándar ISO 25010 y mejoró la calidad del servicio de atención en un 83,52% de acuerdo con la escala SERVQUAL; asimismo, la solución optimizó la experiencia del usuario al resolver las dudas académicas en lapsos inmediatos de 1 a 2 minutos. Los autores concluyeron que la integración de servicios cognitivos en plataformas de mensajería automatizada agiliza de forma sustantiva la gestión y el acceso a la información administrativa universitaria, recomendando el monitoreo constante de intenciones para alinear las respuestas a futuras modificaciones en las directivas de graduación.</w:t>
      </w:r>
    </w:p>
    <w:p>
      <w:pPr>
        <w:spacing w:line="360" w:lineRule="auto" w:before="0" w:after="120"/>
        <w:jc w:val="both"/>
      </w:pPr>
      <w:r/>
      <w:r>
        <w:rPr>
          <w:rFonts w:ascii="Times New Roman" w:hAnsi="Times New Roman"/>
          <w:i w:val="0"/>
          <w:color w:val="000000"/>
          <w:sz w:val="24"/>
        </w:rPr>
        <w:t>Quispe (2024) implementó un chatbot conversacional denominado «Upcito» orientado a optimizar la calidad del servicio de atención al egresado en los trámites de obtención de grados académicos y títulos profesionales en la Universidad Peruana de Ciencias e Informática. El estudio se enmarcó en una investigación de tipo aplicada con diseño preexperimental de pretest y postest sobre un único grupo, evaluando a una muestra no probabilística de 54 egresados que realizaron gestiones administrativas durante el año 2024. En el plano tecnológico, el asistente se integró directamente en el portal web institucional mediante la plataforma conversacional Chatling, estructurando árboles de decisión y flujos guiados para la consulta interactiva de requisitos según el nivel académico solicitado (bachiller, título profesional o maestría). La medición de datos se realizó a través de un cuestionario de satisfacción de 26 ítems estructurado bajo las dimensiones de fiabilidad, capacidad de respuesta y seguridad adaptadas del modelo SERVQUAL, validado por juicio de expertos y con una alta confiabilidad mediante el coeficiente Alfa de Cronbach (α = 0,850 en el pretest y α = 0,834 en el postest). Tras aplicar la prueba no paramétrica de rangos con signo de Wilcoxon, se comprobaron diferencias estadísticamente significativas en todas las variables (p = 0,000): la media de la calidad general del servicio aumentó de 2,0370 a 3,7963 puntos sobre 5 (Z = -6,394), reduciendo la insatisfacción inicial del 81,5% al 1,9% y logrando un 74,1% de valoraciones positivas; asimismo, la fiabilidad se elevó de 2,0556 a 3,8333 (Z = -6,219), la capacidad de respuesta se incrementó de 2,0370 a 3,8148 (Z = -6,397) alcanzando un 72,3% de aprobación y la seguridad subió de 2,1667 a 3,7037 (Z = -6,339). La investigación concluyó que la automatización de la atención mitiga la saturación en ventanilla y estandariza la orientación institucional en horarios ininterrumpidos (24/7), sugiriendo la incorporación de algoritmos de inteligencia artificial más complejos y protocolos de escalamiento hacia agentes humanos para la atención de casos no previstos.</w:t>
      </w:r>
    </w:p>
    <w:p>
      <w:pPr>
        <w:spacing w:line="360" w:lineRule="auto" w:before="0" w:after="120"/>
        <w:jc w:val="both"/>
      </w:pPr>
      <w:r/>
      <w:r>
        <w:rPr>
          <w:rFonts w:ascii="Times New Roman" w:hAnsi="Times New Roman"/>
          <w:i w:val="0"/>
          <w:color w:val="000000"/>
          <w:sz w:val="24"/>
        </w:rPr>
        <w:t>De La Cruz y Mere (2023) implementaron un chatbot interactivo con inteligencia artificial con el propósito de mejorar el aprendizaje significativo del curso de Algoritmos en los estudiantes del tercer ciclo de la Facultad de Ingeniería de Sistemas de la Universidad Nacional San Luis Gonzaga de Ica. La investigación se desarrolló bajo un enfoque cuantitativo de tipo aplicado y diseño preexperimental con mediciones de pretest y postest en un solo grupo, aplicándose a una muestra no probabilística intencional de 32 alumnos. En el apartado arquitectónico, el asistente conversacional se construyó sobre la plataforma de procesamiento de lenguaje natural Dialogflow de Google, estructurando páginas de diálogo, entidades y entrenamiento de intenciones (</w:t>
      </w:r>
      <w:r>
        <w:rPr>
          <w:rFonts w:ascii="Times New Roman" w:hAnsi="Times New Roman"/>
          <w:i/>
          <w:color w:val="000000"/>
          <w:sz w:val="24"/>
        </w:rPr>
        <w:t>intents</w:t>
      </w:r>
      <w:r>
        <w:rPr>
          <w:rFonts w:ascii="Times New Roman" w:hAnsi="Times New Roman"/>
          <w:i w:val="0"/>
          <w:color w:val="000000"/>
          <w:sz w:val="24"/>
        </w:rPr>
        <w:t>) enlazadas a servicios en la nube de Google Cloud Platform para ofrecer explicaciones teóricas y resolución contextual de dudas de programación. La recolección de datos se llevó a cabo mediante un cuestionario de 35 ítems formulado a partir de la teoría del aprendizaje significativo de Ausubel (evaluando las dimensiones de aprendizaje representacional, de conceptos y proposicional), complementado con una escala de evaluación de percepción de la herramienta. Tras el procesamiento inferencial mediante la prueba no paramétrica de rangos con signo de Wilcoxon, se comprobaron incrementos estadísticamente significativos en todos los niveles evaluados (p = 0,000): la media global del aprendizaje significativo se elevó de 1,13 puntos (DE = 0,336) en el pretest a 4,41 puntos (DE = 0,498) en el postest (estadístico de Wilcoxon = 528,00), transformando un 88% de respuestas en fuerte desacuerdo inicial a un 100% de aprobación estudiantil (59% de acuerdo y 41% muy de acuerdo); paralelamente, el aprendizaje representacional incrementó su promedio de 1,34 a 4,44 puntos, el aprendizaje de conceptos ascendió de 1,47 a 4,44 y el proposicional aumentó de 1,25 a 4,47 (p = 0,000). Los autores concluyeron que los asistentes conversacionales basados en IA actúan como un canal complementario idóneo para suplir la falta de retroalimentación personalizada en aulas con alta carga estudiantil, facilitando la asimilación autodirigida de estructuras algorítmicas y recomendando la articulación formal del agente dentro de las guías de práctica de la asignatura.</w:t>
      </w:r>
    </w:p>
    <w:p>
      <w:pPr>
        <w:spacing w:line="360" w:lineRule="auto" w:before="0" w:after="120"/>
        <w:jc w:val="both"/>
      </w:pPr>
      <w:r/>
      <w:r>
        <w:rPr>
          <w:rFonts w:ascii="Times New Roman" w:hAnsi="Times New Roman"/>
          <w:i w:val="0"/>
          <w:color w:val="000000"/>
          <w:sz w:val="24"/>
        </w:rPr>
        <w:t xml:space="preserve">Vallejos (2023) determinó la influencia del uso de un chatbot en el servicio de atención al cliente a través de redes sociales en la empresa deportiva Master GOL en la ciudad de Tarapoto. La investigación adoptó un enfoque cuantitativo de tipo aplicado y diseño cuasiexperimental, evaluando a una muestra no probabilística de 60 clientes divididos en un grupo de control (30 atendidos por el personal) y un grupo experimental (30 atendidos mediante el asistente virtual). El ciclo de desarrollo de software se guio por la metodología ágil Programación Extrema (XP) en sus cuatro fases, construyendo una solución conversacional integrada a la API de WhatsApp Cloud a través de </w:t>
      </w:r>
      <w:r>
        <w:rPr>
          <w:rFonts w:ascii="Times New Roman" w:hAnsi="Times New Roman"/>
          <w:i/>
          <w:color w:val="000000"/>
          <w:sz w:val="24"/>
        </w:rPr>
        <w:t>webhooks</w:t>
      </w:r>
      <w:r>
        <w:rPr>
          <w:rFonts w:ascii="Times New Roman" w:hAnsi="Times New Roman"/>
          <w:i w:val="0"/>
          <w:color w:val="000000"/>
          <w:sz w:val="24"/>
        </w:rPr>
        <w:t>, respaldada por una plataforma web de administración desarrollada con Ruby on Rails (v6) en el backend, Vue.js en el frontend y MariaDB como motor de base de datos relacional para gestionar la disponibilidad de horarios, reservas y enlaces de localización con Google Maps. Para la evaluación se diseñó un cuestionario de 15 ítems en escala Likert basado en el modelo SERVQUAL, analizando las dimensiones de calidad del servicio y satisfacción del cliente. Tras corroborar la distribución normal de los datos mediante la prueba de Shapiro-Wilk, el contraste inferencial mediante la prueba T de Student para muestras independientes (t = -75,509; gl = 58; p = 0,000) demostró mejoras estadísticamente significativas: el nivel general de atención favorable aumentó del 33,87% en el pretest al 94,53% en el postest; a escala dimensional, la calidad de servicio se incrementó del 32,87% al 95,53% y la satisfacción del cliente ascendió del 35,87% al 92,53%, destacando puntuaciones de total acuerdo en resolución de problemas (96,7%), atención personalizada (93,3%) y capacidad de respuesta inmediata (90,0%). El estudio concluyó que la automatización de la atención por canales de mensajería social optimiza sustancialmente la interacción comercial al suprimir los tiempos muertos y la saturación de los canales telefónicos tradicionales, recomendando formalizar los requerimientos de verificación de Meta para evitar interrupciones en la disponibilidad del servicio.</w:t>
      </w:r>
    </w:p>
    <w:p>
      <w:pPr>
        <w:spacing w:line="360" w:lineRule="auto" w:before="0" w:after="120"/>
        <w:jc w:val="both"/>
      </w:pPr>
      <w:r/>
      <w:r>
        <w:rPr>
          <w:rFonts w:ascii="Times New Roman" w:hAnsi="Times New Roman"/>
          <w:i w:val="0"/>
          <w:color w:val="000000"/>
          <w:sz w:val="24"/>
        </w:rPr>
        <w:t>Hartono et al. (2025) diseñaron y evaluaron un asistente virtual de preguntas y respuestas basado en el modelo de lenguaje de código abierto Gemma-2-2b-it con el propósito de optimizar el acceso a la información académica, operativa y de admisión para postulantes y estudiantes en el Institut Sains dan Teknologi Terpadu Surabaya (Indonesia). La metodología combinó y contrastó empíricamente dos enfoques de optimización: Generación Aumentada por Recuperación (RAG) y ajuste fino (</w:t>
      </w:r>
      <w:r>
        <w:rPr>
          <w:rFonts w:ascii="Times New Roman" w:hAnsi="Times New Roman"/>
          <w:i/>
          <w:color w:val="000000"/>
          <w:sz w:val="24"/>
        </w:rPr>
        <w:t>finetuning</w:t>
      </w:r>
      <w:r>
        <w:rPr>
          <w:rFonts w:ascii="Times New Roman" w:hAnsi="Times New Roman"/>
          <w:i w:val="0"/>
          <w:color w:val="000000"/>
          <w:sz w:val="24"/>
        </w:rPr>
        <w:t>) mediante QLoRA (cuantización a 4 bits, tasa de aprendizaje de 1×10⁻³ por dos épocas). El corpus documental se conformó a partir de 1078 transcripciones de conversaciones de WhatsApp, el contenido extraído del portal web universitario y cuatro reglamentos institucionales en formato PDF, procesados mediante segmentación recursiva (</w:t>
      </w:r>
      <w:r>
        <w:rPr>
          <w:rFonts w:ascii="Times New Roman" w:hAnsi="Times New Roman"/>
          <w:i/>
          <w:color w:val="000000"/>
          <w:sz w:val="24"/>
        </w:rPr>
        <w:t>chunk size</w:t>
      </w:r>
      <w:r>
        <w:rPr>
          <w:rFonts w:ascii="Times New Roman" w:hAnsi="Times New Roman"/>
          <w:i w:val="0"/>
          <w:color w:val="000000"/>
          <w:sz w:val="24"/>
        </w:rPr>
        <w:t xml:space="preserve"> de 1000 caracteres y </w:t>
      </w:r>
      <w:r>
        <w:rPr>
          <w:rFonts w:ascii="Times New Roman" w:hAnsi="Times New Roman"/>
          <w:i/>
          <w:color w:val="000000"/>
          <w:sz w:val="24"/>
        </w:rPr>
        <w:t>overlap</w:t>
      </w:r>
      <w:r>
        <w:rPr>
          <w:rFonts w:ascii="Times New Roman" w:hAnsi="Times New Roman"/>
          <w:i w:val="0"/>
          <w:color w:val="000000"/>
          <w:sz w:val="24"/>
        </w:rPr>
        <w:t xml:space="preserve"> de 100) y aumentación sintética de datos. La arquitectura RAG integró la base de datos vectorial ChromaDB comparando dos modelos de incrustación: el multilingüe PMM (</w:t>
      </w:r>
      <w:r>
        <w:rPr>
          <w:rFonts w:ascii="Times New Roman" w:hAnsi="Times New Roman"/>
          <w:i w:val="0"/>
          <w:color w:val="000000"/>
          <w:sz w:val="24"/>
        </w:rPr>
        <w:t>paraphrase-multilingual-mpnet-base-v2</w:t>
      </w:r>
      <w:r>
        <w:rPr>
          <w:rFonts w:ascii="Times New Roman" w:hAnsi="Times New Roman"/>
          <w:i w:val="0"/>
          <w:color w:val="000000"/>
          <w:sz w:val="24"/>
        </w:rPr>
        <w:t>) y el modelo nativo en indonesio LZR (</w:t>
      </w:r>
      <w:r>
        <w:rPr>
          <w:rFonts w:ascii="Times New Roman" w:hAnsi="Times New Roman"/>
          <w:i w:val="0"/>
          <w:color w:val="000000"/>
          <w:sz w:val="24"/>
        </w:rPr>
        <w:t>all-indo-e5-small-v4</w:t>
      </w:r>
      <w:r>
        <w:rPr>
          <w:rFonts w:ascii="Times New Roman" w:hAnsi="Times New Roman"/>
          <w:i w:val="0"/>
          <w:color w:val="000000"/>
          <w:sz w:val="24"/>
        </w:rPr>
        <w:t>). A través del marco de evaluación estandarizado RAGAS (</w:t>
      </w:r>
      <w:r>
        <w:rPr>
          <w:rFonts w:ascii="Times New Roman" w:hAnsi="Times New Roman"/>
          <w:i/>
          <w:color w:val="000000"/>
          <w:sz w:val="24"/>
        </w:rPr>
        <w:t>Retrieval Augmented Generation Assessment</w:t>
      </w:r>
      <w:r>
        <w:rPr>
          <w:rFonts w:ascii="Times New Roman" w:hAnsi="Times New Roman"/>
          <w:i w:val="0"/>
          <w:color w:val="000000"/>
          <w:sz w:val="24"/>
        </w:rPr>
        <w:t>), los resultados demostraron que el RAG implementado sobre el modelo base no ajustado (Escenario 2) alcanzó el mejor desempeño global con una puntuación RAGAS de 0,72 (fidelidad de 0,78, precisión de contexto de 0,81, cobertura de contexto de 0,69 y relevancia de respuesta de 0,65); por el contrario, los modelos RAG sometidos a ajuste fino previo sufrieron una pérdida drástica de fidelidad (puntuaciones entre 0,04 y 0,11), originada por el sobreajuste (</w:t>
      </w:r>
      <w:r>
        <w:rPr>
          <w:rFonts w:ascii="Times New Roman" w:hAnsi="Times New Roman"/>
          <w:i/>
          <w:color w:val="000000"/>
          <w:sz w:val="24"/>
        </w:rPr>
        <w:t>overfitting</w:t>
      </w:r>
      <w:r>
        <w:rPr>
          <w:rFonts w:ascii="Times New Roman" w:hAnsi="Times New Roman"/>
          <w:i w:val="0"/>
          <w:color w:val="000000"/>
          <w:sz w:val="24"/>
        </w:rPr>
        <w:t>) a las expresiones informales del chat. Asimismo, en una prueba de 300 consultas de prueba, el modelo con ajuste fino exclusivo (Escenario 1) obtuvo mayores niveles de precisión (0,43), exhaustividad (0,43) y ROUGE-1 (0,36) en preguntas cerradas del dominio entrenado, registrando una similitud de coseno equivalente (0,51 frente a 0,59 del RAG base). Los autores concluyeron que el paradigma RAG sobre modelos base garantiza una mayor capacidad de generalización y anclaje factual ante información académica cambiante, recomendando incorporar mecanismos de reclasificación (</w:t>
      </w:r>
      <w:r>
        <w:rPr>
          <w:rFonts w:ascii="Times New Roman" w:hAnsi="Times New Roman"/>
          <w:i/>
          <w:color w:val="000000"/>
          <w:sz w:val="24"/>
        </w:rPr>
        <w:t>reranking</w:t>
      </w:r>
      <w:r>
        <w:rPr>
          <w:rFonts w:ascii="Times New Roman" w:hAnsi="Times New Roman"/>
          <w:i w:val="0"/>
          <w:color w:val="000000"/>
          <w:sz w:val="24"/>
        </w:rPr>
        <w:t xml:space="preserve">) y ajuste fino específico sobre el modelo de </w:t>
      </w:r>
      <w:r>
        <w:rPr>
          <w:rFonts w:ascii="Times New Roman" w:hAnsi="Times New Roman"/>
          <w:i/>
          <w:color w:val="000000"/>
          <w:sz w:val="24"/>
        </w:rPr>
        <w:t>embeddings</w:t>
      </w:r>
      <w:r>
        <w:rPr>
          <w:rFonts w:ascii="Times New Roman" w:hAnsi="Times New Roman"/>
          <w:i w:val="0"/>
          <w:color w:val="000000"/>
          <w:sz w:val="24"/>
        </w:rPr>
        <w:t xml:space="preserve"> para perfeccionar la recuperación de contexto.</w:t>
      </w:r>
    </w:p>
    <w:p>
      <w:pPr>
        <w:spacing w:line="360" w:lineRule="auto" w:before="0" w:after="120"/>
        <w:jc w:val="both"/>
      </w:pPr>
      <w:r/>
      <w:r>
        <w:rPr>
          <w:rFonts w:ascii="Times New Roman" w:hAnsi="Times New Roman"/>
          <w:i w:val="0"/>
          <w:color w:val="000000"/>
          <w:sz w:val="24"/>
        </w:rPr>
        <w:t xml:space="preserve">Sánchez (2023) desarrolló un asistente virtual en Telegram enfocado en optimizar el proceso de integración, orientación y resolución de dudas de los alumnos de nuevo ingreso en el marco del Proyecto Mentor de la Escuela Técnica Superior de Ingenieros Informáticos de la Universidad Politécnica de Madrid (España). La metodología de desarrollo de software comprendió el análisis de necesidades estudiantiles, el diseño de la persistencia de datos y la codificación del sistema en el lenguaje Python utilizando el entorno PyCharm y la librería </w:t>
      </w:r>
      <w:r>
        <w:rPr>
          <w:rFonts w:ascii="Times New Roman" w:hAnsi="Times New Roman"/>
          <w:i w:val="0"/>
          <w:color w:val="000000"/>
          <w:sz w:val="24"/>
        </w:rPr>
        <w:t>pyTelegramBotAPI</w:t>
      </w:r>
      <w:r>
        <w:rPr>
          <w:rFonts w:ascii="Times New Roman" w:hAnsi="Times New Roman"/>
          <w:i w:val="0"/>
          <w:color w:val="000000"/>
          <w:sz w:val="24"/>
        </w:rPr>
        <w:t xml:space="preserve"> (</w:t>
      </w:r>
      <w:r>
        <w:rPr>
          <w:rFonts w:ascii="Times New Roman" w:hAnsi="Times New Roman"/>
          <w:i w:val="0"/>
          <w:color w:val="000000"/>
          <w:sz w:val="24"/>
        </w:rPr>
        <w:t>telebot</w:t>
      </w:r>
      <w:r>
        <w:rPr>
          <w:rFonts w:ascii="Times New Roman" w:hAnsi="Times New Roman"/>
          <w:i w:val="0"/>
          <w:color w:val="000000"/>
          <w:sz w:val="24"/>
        </w:rPr>
        <w:t>), implementando concurrencia mediante hilos de ejecución (</w:t>
      </w:r>
      <w:r>
        <w:rPr>
          <w:rFonts w:ascii="Times New Roman" w:hAnsi="Times New Roman"/>
          <w:i/>
          <w:color w:val="000000"/>
          <w:sz w:val="24"/>
        </w:rPr>
        <w:t>threading</w:t>
      </w:r>
      <w:r>
        <w:rPr>
          <w:rFonts w:ascii="Times New Roman" w:hAnsi="Times New Roman"/>
          <w:i w:val="0"/>
          <w:color w:val="000000"/>
          <w:sz w:val="24"/>
        </w:rPr>
        <w:t xml:space="preserve">) para gestionar la recepción de mensajes en segundo plano sin bloquear el hilo principal. La arquitectura tecnológica se sustentó en una base de datos relacional MySQL integrada mediante </w:t>
      </w:r>
      <w:r>
        <w:rPr>
          <w:rFonts w:ascii="Times New Roman" w:hAnsi="Times New Roman"/>
          <w:i w:val="0"/>
          <w:color w:val="000000"/>
          <w:sz w:val="24"/>
        </w:rPr>
        <w:t>mysql.connector</w:t>
      </w:r>
      <w:r>
        <w:rPr>
          <w:rFonts w:ascii="Times New Roman" w:hAnsi="Times New Roman"/>
          <w:i w:val="0"/>
          <w:color w:val="000000"/>
          <w:sz w:val="24"/>
        </w:rPr>
        <w:t xml:space="preserve">, la cual articuló tablas dinámicas para el registro de estudiantes a través de su identificador de chat de Telegram y tablas estáticas con información de las 10 asignaturas obligatorias de primer curso, horarios, aulas, correos de docentes y datos históricos de rendimiento (tasas de rendimiento, éxito y absentismo correspondientes a tres periodos académicos entre 2019 y 2022). A nivel de interfaz, el bot incorporó teclados interactivos con los módulos </w:t>
      </w:r>
      <w:r>
        <w:rPr>
          <w:rFonts w:ascii="Times New Roman" w:hAnsi="Times New Roman"/>
          <w:i w:val="0"/>
          <w:color w:val="000000"/>
          <w:sz w:val="24"/>
        </w:rPr>
        <w:t>ReplyKeyboardMarkup</w:t>
      </w:r>
      <w:r>
        <w:rPr>
          <w:rFonts w:ascii="Times New Roman" w:hAnsi="Times New Roman"/>
          <w:i w:val="0"/>
          <w:color w:val="000000"/>
          <w:sz w:val="24"/>
        </w:rPr>
        <w:t xml:space="preserve">, </w:t>
      </w:r>
      <w:r>
        <w:rPr>
          <w:rFonts w:ascii="Times New Roman" w:hAnsi="Times New Roman"/>
          <w:i w:val="0"/>
          <w:color w:val="000000"/>
          <w:sz w:val="24"/>
        </w:rPr>
        <w:t>ReplyKeyboardRemove</w:t>
      </w:r>
      <w:r>
        <w:rPr>
          <w:rFonts w:ascii="Times New Roman" w:hAnsi="Times New Roman"/>
          <w:i w:val="0"/>
          <w:color w:val="000000"/>
          <w:sz w:val="24"/>
        </w:rPr>
        <w:t xml:space="preserve"> y </w:t>
      </w:r>
      <w:r>
        <w:rPr>
          <w:rFonts w:ascii="Times New Roman" w:hAnsi="Times New Roman"/>
          <w:i w:val="0"/>
          <w:color w:val="000000"/>
          <w:sz w:val="24"/>
        </w:rPr>
        <w:t>ForceReply</w:t>
      </w:r>
      <w:r>
        <w:rPr>
          <w:rFonts w:ascii="Times New Roman" w:hAnsi="Times New Roman"/>
          <w:i w:val="0"/>
          <w:color w:val="000000"/>
          <w:sz w:val="24"/>
        </w:rPr>
        <w:t>, implementando comandos funcionales (</w:t>
      </w:r>
      <w:r>
        <w:rPr>
          <w:rFonts w:ascii="Times New Roman" w:hAnsi="Times New Roman"/>
          <w:i w:val="0"/>
          <w:color w:val="000000"/>
          <w:sz w:val="24"/>
        </w:rPr>
        <w:t>/alta</w:t>
      </w:r>
      <w:r>
        <w:rPr>
          <w:rFonts w:ascii="Times New Roman" w:hAnsi="Times New Roman"/>
          <w:i w:val="0"/>
          <w:color w:val="000000"/>
          <w:sz w:val="24"/>
        </w:rPr>
        <w:t xml:space="preserve">, </w:t>
      </w:r>
      <w:r>
        <w:rPr>
          <w:rFonts w:ascii="Times New Roman" w:hAnsi="Times New Roman"/>
          <w:i w:val="0"/>
          <w:color w:val="000000"/>
          <w:sz w:val="24"/>
        </w:rPr>
        <w:t>/mis_asignaturas</w:t>
      </w:r>
      <w:r>
        <w:rPr>
          <w:rFonts w:ascii="Times New Roman" w:hAnsi="Times New Roman"/>
          <w:i w:val="0"/>
          <w:color w:val="000000"/>
          <w:sz w:val="24"/>
        </w:rPr>
        <w:t xml:space="preserve">, </w:t>
      </w:r>
      <w:r>
        <w:rPr>
          <w:rFonts w:ascii="Times New Roman" w:hAnsi="Times New Roman"/>
          <w:i w:val="0"/>
          <w:color w:val="000000"/>
          <w:sz w:val="24"/>
        </w:rPr>
        <w:t>/tasas_asignatura</w:t>
      </w:r>
      <w:r>
        <w:rPr>
          <w:rFonts w:ascii="Times New Roman" w:hAnsi="Times New Roman"/>
          <w:i w:val="0"/>
          <w:color w:val="000000"/>
          <w:sz w:val="24"/>
        </w:rPr>
        <w:t xml:space="preserve">, </w:t>
      </w:r>
      <w:r>
        <w:rPr>
          <w:rFonts w:ascii="Times New Roman" w:hAnsi="Times New Roman"/>
          <w:i w:val="0"/>
          <w:color w:val="000000"/>
          <w:sz w:val="24"/>
        </w:rPr>
        <w:t>/tasas_curso</w:t>
      </w:r>
      <w:r>
        <w:rPr>
          <w:rFonts w:ascii="Times New Roman" w:hAnsi="Times New Roman"/>
          <w:i w:val="0"/>
          <w:color w:val="000000"/>
          <w:sz w:val="24"/>
        </w:rPr>
        <w:t xml:space="preserve">, </w:t>
      </w:r>
      <w:r>
        <w:rPr>
          <w:rFonts w:ascii="Times New Roman" w:hAnsi="Times New Roman"/>
          <w:i w:val="0"/>
          <w:color w:val="000000"/>
          <w:sz w:val="24"/>
        </w:rPr>
        <w:t>/faq</w:t>
      </w:r>
      <w:r>
        <w:rPr>
          <w:rFonts w:ascii="Times New Roman" w:hAnsi="Times New Roman"/>
          <w:i w:val="0"/>
          <w:color w:val="000000"/>
          <w:sz w:val="24"/>
        </w:rPr>
        <w:t>) para la consulta rápida de profesores, comparativas de dificultad académica y redirección a enlaces oficiales de trámites y reservas universitarias. La validación del prototipo evidenció que la restricción de interacciones a menús de botones estructurados previene errores de sintaxis en el ingreso de datos y acorta drásticamente el tiempo de localización de recursos frente a la navegación tradicional en el portal web institucional. La autora concluyó que la integración de chatbots en plataformas de mensajería masiva constituye un soporte complementario de alto valor para mitigar el estrés informativo de los ingresantes, recomendando incorporar en etapas futuras modelos de lenguaje natural con inteligencia artificial para habilitar diálogos más humanos e interfaces de voz accesibles.</w:t>
      </w:r>
    </w:p>
    <w:p>
      <w:pPr>
        <w:spacing w:line="360" w:lineRule="auto" w:before="0" w:after="120"/>
        <w:jc w:val="both"/>
      </w:pPr>
      <w:r/>
      <w:r>
        <w:rPr>
          <w:rFonts w:ascii="Times New Roman" w:hAnsi="Times New Roman"/>
          <w:i w:val="0"/>
          <w:color w:val="000000"/>
          <w:sz w:val="24"/>
        </w:rPr>
        <w:t xml:space="preserve">Santacruz (2022) implementó un chatbot interactivo basado en inteligencia artificial orientado a automatizar los procesos de difusión de información y comunicación en la Unidad de Titulación de la carrera de Pedagogía de las Ciencias Experimentales Informática de la Universidad Central del Ecuador. La investigación se desarrolló bajo un enfoque cualitativo de alcance exploratorio-descriptivo con diseño no experimental de corte transversal bajo la modalidad de propuesta tecnológica, estructurando el ciclo de desarrollo del asistente mediante la metodología de diseño instruccional ADDIE </w:t>
      </w:r>
      <w:r>
        <w:rPr>
          <w:rFonts w:ascii="Times New Roman" w:hAnsi="Times New Roman"/>
          <w:i/>
          <w:color w:val="000000"/>
          <w:sz w:val="24"/>
        </w:rPr>
        <w:t>Rapid Prototyping</w:t>
      </w:r>
      <w:r>
        <w:rPr>
          <w:rFonts w:ascii="Times New Roman" w:hAnsi="Times New Roman"/>
          <w:i w:val="0"/>
          <w:color w:val="000000"/>
          <w:sz w:val="24"/>
        </w:rPr>
        <w:t xml:space="preserve"> en sus cinco fases cíclicas (análisis, diseño, desarrollo, implementación y evaluación). En la fase diagnóstica inicial, se aplicaron entrevistas semiestructuradas a una muestra de ocho docentes de la carrera, cuyos testimonios fueron analizados mediante codificación y redes semánticas con el software ATLAS.ti para determinar los requerimientos informativos críticos. A nivel arquitectónico, la solución se configuró sobre la plataforma de procesamiento de lenguaje natural Google Dialogflow, diseñando un árbol de intenciones (</w:t>
      </w:r>
      <w:r>
        <w:rPr>
          <w:rFonts w:ascii="Times New Roman" w:hAnsi="Times New Roman"/>
          <w:i/>
          <w:color w:val="000000"/>
          <w:sz w:val="24"/>
        </w:rPr>
        <w:t>intents</w:t>
      </w:r>
      <w:r>
        <w:rPr>
          <w:rFonts w:ascii="Times New Roman" w:hAnsi="Times New Roman"/>
          <w:i w:val="0"/>
          <w:color w:val="000000"/>
          <w:sz w:val="24"/>
        </w:rPr>
        <w:t>) y frases de entrenamiento orientadas a absolver consultas sobre requisitos documentales, instructivos, modalidades de grado (proyectos o examen complexivo) y canales de contacto institucional. La articulación técnica se gestionó a través de la consola de Google Cloud Platform mediante credenciales de cuenta de servicio exportadas en formato JSON, integrándose con el aplicativo móvil Autorespondedor de WhatsApp para gobernar las respuestas automáticas e interactuar con los usuarios desde la plataforma WhatsApp Business, vinculando además enlaces directos a carpetas documentales en Google Drive. La evaluación final de la herramienta se llevó a cabo mediante una matriz técnica de 16 ítems distribuida en cuatro dimensiones (sencillez de uso, visualización, formas de interacción e innovación) calificada por docentes especialistas en tecnologías educativas, alcanzando una puntuación media global de 8,9 sobre 10 puntos (con calificaciones individuales de 8,8 y 9,0). El autor concluyó que la implementación de agentes conversacionales integrados a servicios de mensajería masiva elimina la saturación burocrática y reduce los tiempos de espera del alumnado frente al uso exclusivo del correo electrónico institucional, recomendando mantener la actualización continua de las intenciones de diálogo conforme varíen los reglamentos de titulación y replicar el modelo en otras áreas académicas de la facultad.</w:t>
      </w:r>
    </w:p>
    <w:p>
      <w:pPr>
        <w:spacing w:line="360" w:lineRule="auto" w:before="0" w:after="120"/>
        <w:jc w:val="both"/>
      </w:pPr>
      <w:r/>
      <w:r>
        <w:rPr>
          <w:rFonts w:ascii="Times New Roman" w:hAnsi="Times New Roman"/>
          <w:i w:val="0"/>
          <w:color w:val="000000"/>
          <w:sz w:val="24"/>
        </w:rPr>
        <w:t xml:space="preserve">Garibay (2020) diseñó e implementó un asistente virtual inteligente denominado «CP-Bot» con el propósito de optimizar los canales de atención y agilizar el registro de socios en el programa de recompensas Club Premier de Grupo Aeroméxico. La propuesta se desarrolló bajo la modalidad de proyecto laboral estructurado en un plan de seis fases operativas (planeación y </w:t>
      </w:r>
      <w:r>
        <w:rPr>
          <w:rFonts w:ascii="Times New Roman" w:hAnsi="Times New Roman"/>
          <w:i/>
          <w:color w:val="000000"/>
          <w:sz w:val="24"/>
        </w:rPr>
        <w:t>kick-off</w:t>
      </w:r>
      <w:r>
        <w:rPr>
          <w:rFonts w:ascii="Times New Roman" w:hAnsi="Times New Roman"/>
          <w:i w:val="0"/>
          <w:color w:val="000000"/>
          <w:sz w:val="24"/>
        </w:rPr>
        <w:t>, entrenamiento, pruebas, lanzamiento, ajustes y autogestión), complementado con un esquema de mantenimiento técnico continuo. En el ámbito arquitectónico, la solución se construyó sobre la plataforma cognitiva Agentbot provista por Aivo, la cual incorporó algoritmos de Procesamiento de Lenguaje Natural y aprendizaje automático (</w:t>
      </w:r>
      <w:r>
        <w:rPr>
          <w:rFonts w:ascii="Times New Roman" w:hAnsi="Times New Roman"/>
          <w:i/>
          <w:color w:val="000000"/>
          <w:sz w:val="24"/>
        </w:rPr>
        <w:t>Machine Learning</w:t>
      </w:r>
      <w:r>
        <w:rPr>
          <w:rFonts w:ascii="Times New Roman" w:hAnsi="Times New Roman"/>
          <w:i w:val="0"/>
          <w:color w:val="000000"/>
          <w:sz w:val="24"/>
        </w:rPr>
        <w:t>) para interpretar intenciones, tolerar errores ortográficos y contextualizar el diálogo; asimismo, la herramienta se integró de forma omnicanal con WhatsApp Business API, Facebook Messenger y Chat Web bajo las normativas de seguridad de datos GDPR y Zendesk Sunshine, contemplando un protocolo de enrutamiento hacia operadores humanos del centro de contacto (Teleperformance) para gestiones de alta complejidad. La evaluación del sistema se realizó mediante encuestas automatizadas de satisfacción y seguimiento métrico sobre un volumen superior a las 10 000 interacciones. Como resultados destacados, WhatsApp se consolidó como el canal preferencial con 1295 interacciones mensuales, donde el 83,33% correspondió a usuarios nuevos que gestionaron principalmente su inscripción (</w:t>
      </w:r>
      <w:r>
        <w:rPr>
          <w:rFonts w:ascii="Times New Roman" w:hAnsi="Times New Roman"/>
          <w:i/>
          <w:color w:val="000000"/>
          <w:sz w:val="24"/>
        </w:rPr>
        <w:t>enrollment</w:t>
      </w:r>
      <w:r>
        <w:rPr>
          <w:rFonts w:ascii="Times New Roman" w:hAnsi="Times New Roman"/>
          <w:i w:val="0"/>
          <w:color w:val="000000"/>
          <w:sz w:val="24"/>
        </w:rPr>
        <w:t>) y consulta de millas; en el plano operativo, el soporte virtual redujo en un 50% el tiempo promedio de atención humana ante consultas complejas de empresas aliadas (disminuyendo de 30 a 15 minutos), alcanzando una valoración media de 4,67 sobre 5 estrellas, un índice de satisfacción del cliente (C-Sat) del 93,33% y una efectividad resolutiva directa del 50,00%. El estudio concluyó que la incorporación de asistentes virtuales en plataformas de mensajería instantánea descongestiona significativamente los conmutadores telefónicos y democratiza el autoservicio 24/7 en empresas de servicios masivos, recomendando simplificar las secuencias de captura de datos para mitigar la tasa de deserción estudiada durante el llenado de formularios extensos.</w:t>
      </w:r>
    </w:p>
    <w:p>
      <w:pPr>
        <w:spacing w:line="360" w:lineRule="auto" w:before="0" w:after="120"/>
        <w:jc w:val="both"/>
      </w:pPr>
      <w:r/>
      <w:r>
        <w:rPr>
          <w:rFonts w:ascii="Times New Roman" w:hAnsi="Times New Roman"/>
          <w:i w:val="0"/>
          <w:color w:val="000000"/>
          <w:sz w:val="24"/>
        </w:rPr>
        <w:t>Winkler et al. (2020) desarrollaron y evaluaron experimentalmente a «Sara», un agente conversacional inteligente dotado de andamiaje pedagógico (</w:t>
      </w:r>
      <w:r>
        <w:rPr>
          <w:rFonts w:ascii="Times New Roman" w:hAnsi="Times New Roman"/>
          <w:i/>
          <w:color w:val="000000"/>
          <w:sz w:val="24"/>
        </w:rPr>
        <w:t>scaffolding</w:t>
      </w:r>
      <w:r>
        <w:rPr>
          <w:rFonts w:ascii="Times New Roman" w:hAnsi="Times New Roman"/>
          <w:i w:val="0"/>
          <w:color w:val="000000"/>
          <w:sz w:val="24"/>
        </w:rPr>
        <w:t>) e interacción multimodal (voz y texto), diseñado para intervenir activamente durante lecciones en video y potenciar el aprendizaje de programación en Python. La investigación se sustentó en los postulados de la teoría sociocultural del andamiaje y la teoría cognitiva del aprendizaje multimedia, implementando un diseño experimental de laboratorio factorial 2 × 2 con medidas repetidas sobre una muestra de 182 estudiantes universitarios de pregrado y posgrado distribuidos en cuatro tratamientos y un grupo de control. En el ámbito arquitectónico, el asistente se integró sobre un reproductor web articulando tres principios de diseño: un esquema jerárquico de diálogo principal y subdiálogos correctivos calibrados a la Zona de Desarrollo Próximo (ZPD) del aprendiz; un clasificador de intenciones sustentado en la librería de código abierto NLP.js desplegada en infraestructura propia por motivos de privacidad y entrenada con un corpus de 800 enunciados, conectado a la Web Speech API de HTML5 para la transcripción del habla del estudiante; y un motor de salida multicanal basado en la Speech Synthesis API de HTML5 que emitía explicaciones auditivas acompañadas de texto en pantalla. Mediante análisis de covarianza (ANCOVA) controlando el conocimiento previo, la carga cognitiva y la preferencia perceptual, los resultados confirmaron efectos principales altamente significativos: el grupo que interactuó con Sara obtuvo los mayores promedios normalizados tanto en retención de información con 77,8 puntos (F(4,359) = 29,9; p &lt; 0,0001; ηp² = 0,08) como en capacidad de transferencia para resolver nuevos problemas de código con 65,4 puntos (F(4,359) = 22,3; p &lt; 0,0001; ηp² = 0,06), superando ampliamente al grupo de control pasivo (60,9 y 44,0 puntos respectivamente); paralelamente, se comprobó un efecto de interacción positivo entre el andamiaje y la modalidad por voz (p = 0,0001 en retención y p = 0,009 en transferencia), registrando una precisión en la selección de intervenciones (</w:t>
      </w:r>
      <w:r>
        <w:rPr>
          <w:rFonts w:ascii="Times New Roman" w:hAnsi="Times New Roman"/>
          <w:i/>
          <w:color w:val="000000"/>
          <w:sz w:val="24"/>
        </w:rPr>
        <w:t>ISA</w:t>
      </w:r>
      <w:r>
        <w:rPr>
          <w:rFonts w:ascii="Times New Roman" w:hAnsi="Times New Roman"/>
          <w:i w:val="0"/>
          <w:color w:val="000000"/>
          <w:sz w:val="24"/>
        </w:rPr>
        <w:t>) del 95,48%. Los investigadores concluyeron que incorporar agentes conversacionales con voz y andamiaje dinámico en videos educativos emula con eficacia la tutoría humana presencial y supera las limitaciones del e-learning estático, recomendando desarrollar herramientas de autoría accesibles para facilitar la configuración de estos asistentes a docentes sin experiencia en programación.</w:t>
      </w:r>
    </w:p>
    <w:p>
      <w:pPr>
        <w:spacing w:line="360" w:lineRule="auto" w:before="0" w:after="120"/>
        <w:jc w:val="both"/>
      </w:pPr>
      <w:r/>
      <w:r>
        <w:rPr>
          <w:rFonts w:ascii="Times New Roman" w:hAnsi="Times New Roman"/>
          <w:i w:val="0"/>
          <w:color w:val="000000"/>
          <w:sz w:val="24"/>
        </w:rPr>
        <w:t>Okonkwo y Ade-Ibijola (2021) desarrollaron una revisión sistemática de literatura orientada a examinar el estado del arte, los beneficios operacionales y los principales desafíos técnicos vinculados a la implementación de chatbots en el ámbito educativo. La investigación siguió las directrices metodológicas de revisión sistemática para ingeniería de software establecidas por Kitchenham y Wohlin, estructuradas en tres fases formales (planificación, ejecución y reporte). La exploración documental se llevó a cabo en seis bases de datos científicas de referencia (IEEE Digital Library, ScienceDirect, SpringerLink, Scopus, Taylor &amp; Francis y ERIC) abarcando la producción académica en inglés entre 2015 y mayo de 2021 mediante ecuaciones booleanas combinadas de agentes conversacionales y educación. De un universo inicial de 2048 registros identificados, los autores seleccionaron una muestra final de 53 artículos tras superar un protocolo de inclusión, exclusión y un control de calidad metodológica compuesto por cinco criterios evaluados por pares con un umbral mínimo aprobatorio de 7,5 sobre 15 puntos. Como hallazgos cuantitativos, el mapeo evidenció que la mayor concentración de aplicaciones correspondió a la enseñanza y el aprendizaje con un 66%, seguido por el desarrollo e investigación académica con un 19%, la evaluación del rendimiento estudiantil con un 6%, las tareas de gestión y soporte administrativo con un 5% y la asesoría vocacional con un 4%. Entre los beneficios esenciales se identificaron la capacidad de atención concurrente a múltiples usuarios sin saturación, el acceso inmediato a la información (24/7) y la centralización de contenidos formativos; paralelamente, se catalogaron como desafíos críticos las deficiencias del procesamiento de lenguaje natural (NLP) ante expresiones coloquiales no entrenadas, la escasez de evaluaciones empíricas con muestras muestrales representativas y la dificultad logística para supervisar y actualizar continuamente los bancos de conocimiento. Los autores concluyeron que los asistentes conversacionales son piezas clave para la modernización institucional, recomendando formular protocolos rigurosos de pruebas de usabilidad y establecer directrices éticas claras sobre la privacidad y el resguardo de los datos del alumnado.</w:t>
      </w:r>
    </w:p>
    <w:p>
      <w:pPr>
        <w:spacing w:line="360" w:lineRule="auto" w:before="0" w:after="120"/>
        <w:jc w:val="both"/>
      </w:pPr>
      <w:r/>
      <w:r>
        <w:rPr>
          <w:rFonts w:ascii="Times New Roman" w:hAnsi="Times New Roman"/>
          <w:i w:val="0"/>
          <w:color w:val="000000"/>
          <w:sz w:val="24"/>
        </w:rPr>
        <w:t>Parrales-Bravo et al. (2024) desarrollaron y evaluaron «CSM» (</w:t>
      </w:r>
      <w:r>
        <w:rPr>
          <w:rFonts w:ascii="Times New Roman" w:hAnsi="Times New Roman"/>
          <w:i/>
          <w:color w:val="000000"/>
          <w:sz w:val="24"/>
        </w:rPr>
        <w:t>Chatbot Solution to Manage Student Questions</w:t>
      </w:r>
      <w:r>
        <w:rPr>
          <w:rFonts w:ascii="Times New Roman" w:hAnsi="Times New Roman"/>
          <w:i w:val="0"/>
          <w:color w:val="000000"/>
          <w:sz w:val="24"/>
        </w:rPr>
        <w:t>), un sistema conversacional de código abierto basado en aprendizaje automático y procesamiento de lenguaje natural integrado en Telegram, orientado a resolver dudas sobre aranceles, pagos y matrícula de los estudiantes del Curso de Nivelación de Carrera en Ingeniería de Software de la Universidad de Guayaquil (Ecuador). La arquitectura del agente se estructuró a partir de un perceptrón multicapa (MLP) con regularización L2 (0,01) y optimizador Adam, evaluando tres variantes estructurales mediante validación cruzada de 5 pliegues (</w:t>
      </w:r>
      <w:r>
        <w:rPr>
          <w:rFonts w:ascii="Times New Roman" w:hAnsi="Times New Roman"/>
          <w:i/>
          <w:color w:val="000000"/>
          <w:sz w:val="24"/>
        </w:rPr>
        <w:t>k-fold cross-validation</w:t>
      </w:r>
      <w:r>
        <w:rPr>
          <w:rFonts w:ascii="Times New Roman" w:hAnsi="Times New Roman"/>
          <w:i w:val="0"/>
          <w:color w:val="000000"/>
          <w:sz w:val="24"/>
        </w:rPr>
        <w:t xml:space="preserve">); se seleccionó la segunda versión (tres capas densas de 128, 64 y capa de salida Softmax, con capas intermedias </w:t>
      </w:r>
      <w:r>
        <w:rPr>
          <w:rFonts w:ascii="Times New Roman" w:hAnsi="Times New Roman"/>
          <w:i/>
          <w:color w:val="000000"/>
          <w:sz w:val="24"/>
        </w:rPr>
        <w:t>Dropout</w:t>
      </w:r>
      <w:r>
        <w:rPr>
          <w:rFonts w:ascii="Times New Roman" w:hAnsi="Times New Roman"/>
          <w:i w:val="0"/>
          <w:color w:val="000000"/>
          <w:sz w:val="24"/>
        </w:rPr>
        <w:t xml:space="preserve"> al 50% y activación ReLU, entrenada por 250 épocas con </w:t>
      </w:r>
      <w:r>
        <w:rPr>
          <w:rFonts w:ascii="Times New Roman" w:hAnsi="Times New Roman"/>
          <w:i/>
          <w:color w:val="000000"/>
          <w:sz w:val="24"/>
        </w:rPr>
        <w:t>batch size</w:t>
      </w:r>
      <w:r>
        <w:rPr>
          <w:rFonts w:ascii="Times New Roman" w:hAnsi="Times New Roman"/>
          <w:i w:val="0"/>
          <w:color w:val="000000"/>
          <w:sz w:val="24"/>
        </w:rPr>
        <w:t xml:space="preserve"> de 5), la cual alcanzó una exactitud del 83,20% en validación sin incurrir en el sobreajuste detectado en modelos más complejos. El pipeline de procesamiento lingüístico empleó tokenización, lematización con WordNetLemmatizer (NLTK Python) y un modelo de bolsa de palabras binaria (BoW), alojando el backend en la nube sobre Render conectado a una base de datos relacional PostgreSQL para el control de sesiones y cuotas de uso (30 consultas diarias por estudiante), implementando validación de acceso mediante contraseñas de un solo uso (OTP vía PyOTP) a correos institucionales. La evaluación cuantitativa con seis estudiantes midió los tiempos de realización de tres tareas operativas: registro inicial (media de 3,50 minutos), ejecución de cinco consultas (media de 3,16 minutos; DE = 0,75) y desuscripción (media de 3,33 minutos), confirmando la prueba de Kruskal-Wallis la ausencia de diferencias significativas entre tareas (p = 0,2623 &gt; 0,05) y evidenciando una notable reducción temporal frente a la atención presencial en secretaría. Paralelamente, una encuesta de percepción aplicada a 60 estudiantes universitarios bajo escala Likert (1 a 5) en cinco atributos (facilidad de uso, velocidad, comportamiento del sistema, confianza de reutilización y calidad de respuesta) arrojó puntuaciones aprobatorias superiores a 3 en todas las dimensiones, con una alta concentración en calificaciones de 4 y 5. Los investigadores concluyeron que el despliegue de chatbots en plataformas de mensajería social agiliza sustancialmente la gestión de procesos académicos recurrentes, recomendando investigar la integración con modelos de lenguaje masivos para flexibilizar la comprensión semántica.</w:t>
      </w:r>
    </w:p>
    <w:p>
      <w:pPr>
        <w:spacing w:line="360" w:lineRule="auto" w:before="0" w:after="120"/>
        <w:jc w:val="both"/>
      </w:pPr>
      <w:r/>
      <w:r>
        <w:rPr>
          <w:rFonts w:ascii="Times New Roman" w:hAnsi="Times New Roman"/>
          <w:i w:val="0"/>
          <w:color w:val="000000"/>
          <w:sz w:val="24"/>
        </w:rPr>
        <w:t>Wang et al. (2022) examinaron de manera empírica cómo el uso de chatbots basados en inteligencia artificial genera agilidad empresarial (distinguiendo entre agilidad interna y externa) y cómo dicha agilidad optimiza el desempeño en el servicio de atención al cliente, contrastando el impacto del uso rutinario frente al uso innovador de la tecnología. La fundamentación teórica se estructuró a partir de la Teoría de Capacidades Dinámicas (</w:t>
      </w:r>
      <w:r>
        <w:rPr>
          <w:rFonts w:ascii="Times New Roman" w:hAnsi="Times New Roman"/>
          <w:i/>
          <w:color w:val="000000"/>
          <w:sz w:val="24"/>
        </w:rPr>
        <w:t>Dynamic Capabilities View</w:t>
      </w:r>
      <w:r>
        <w:rPr>
          <w:rFonts w:ascii="Times New Roman" w:hAnsi="Times New Roman"/>
          <w:i w:val="0"/>
          <w:color w:val="000000"/>
          <w:sz w:val="24"/>
        </w:rPr>
        <w:t xml:space="preserve"> - DCV), implementando un diseño de investigación cuantitativo transversal evaluado mediante modelos de ecuaciones estructurales por mínimos cuadrados parciales (PLS-SEM) con el software SmartPLS (v3.2.8) y </w:t>
      </w:r>
      <w:r>
        <w:rPr>
          <w:rFonts w:ascii="Times New Roman" w:hAnsi="Times New Roman"/>
          <w:i/>
          <w:color w:val="000000"/>
          <w:sz w:val="24"/>
        </w:rPr>
        <w:t>bootstrapping</w:t>
      </w:r>
      <w:r>
        <w:rPr>
          <w:rFonts w:ascii="Times New Roman" w:hAnsi="Times New Roman"/>
          <w:i w:val="0"/>
          <w:color w:val="000000"/>
          <w:sz w:val="24"/>
        </w:rPr>
        <w:t xml:space="preserve"> de 5000 remuestreos, complementado con análisis de mediación mediante el macro PROCESS de Hayes. La muestra estuvo constituida por 294 profesionales y empleados del área de marketing y soporte al cliente en Estados Unidos, vinculados a organizaciones que operan con plataformas conversacionales como SnatchBot y Bold360 en diversos sectores (banca y finanzas 15,0%, manufactura 13,3%, comercio minorista 11,9% y salud 9,9%). Los resultados demostraron que el uso de chatbots explicó el 49,37% de la varianza en la agilidad interna y el 48,79% en la externa, las cuales a su vez explicaron el 66,68% de la varianza del desempeño en el servicio al cliente (R² = 0,6668); asimismo, aunque el uso rutinario influyó positivamente en la agilidad interna (β = 0,23; p &lt; 0,001) y externa (β = 0,22; p &lt; 0,001), el uso innovador desplegó un efecto predictivo sustancialmente superior en ambas dimensiones (β = 0,53; p &lt; 0,001). Paralelamente, se comprobó que la agilidad externa ejerció el mayor impacto sobre la calidad del servicio (β = 0,65; p &lt; 0,001) en contraste con la agilidad interna (β = 0,20; p &lt; 0,05), evidenciando el análisis </w:t>
      </w:r>
      <w:r>
        <w:rPr>
          <w:rFonts w:ascii="Times New Roman" w:hAnsi="Times New Roman"/>
          <w:i/>
          <w:color w:val="000000"/>
          <w:sz w:val="24"/>
        </w:rPr>
        <w:t>post-hoc</w:t>
      </w:r>
      <w:r>
        <w:rPr>
          <w:rFonts w:ascii="Times New Roman" w:hAnsi="Times New Roman"/>
          <w:i w:val="0"/>
          <w:color w:val="000000"/>
          <w:sz w:val="24"/>
        </w:rPr>
        <w:t xml:space="preserve"> que el uso innovador es especialmente determinante en organizaciones grandes (β = 0,58). La investigación concluyó que los agentes conversacionales con IA trascienden la simple automatización de tareas operativas y actúan como inductores estratégicos de adaptación y flexibilidad institucional, recomendando que las organizaciones promuevan la exploración activa y el descubrimiento de nuevos casos de uso del chatbot más allá de la atención rutinaria de preguntas frecuentes.</w:t>
      </w:r>
    </w:p>
    <w:p>
      <w:pPr>
        <w:spacing w:line="360" w:lineRule="auto" w:before="0" w:after="120"/>
        <w:jc w:val="both"/>
      </w:pPr>
      <w:r/>
      <w:r>
        <w:rPr>
          <w:rFonts w:ascii="Times New Roman" w:hAnsi="Times New Roman"/>
          <w:i w:val="0"/>
          <w:color w:val="000000"/>
          <w:sz w:val="24"/>
        </w:rPr>
        <w:t xml:space="preserve">León-Granizo y León-Granizo (2021) desarrollaron un asistente virtual conversacional integrado a una aplicación móvil con el objetivo de mejorar y agilizar el acceso a la información recurrente sobre los procesos de matrícula y titulación en la Facultad de Ciencias Físicas y Matemáticas de la Universidad de Guayaquil. La investigación se sustentó en una metodología descriptiva para diagnosticar la problemática de atención en periodos de alta concurrencia y adoptó el marco de trabajo ágil Scrum para la gestión iterativa del desarrollo de software. Para la determinación de requisitos se aplicó un muestreo probabilístico aleatorio sobre una población de 1143 estudiantes de la carrera de Ingeniería en Sistemas Computacionales, consolidando una muestra de 278 encuestados (con un margen de error del 5,21% y un nivel de confianza del 95%), complementada con entrevistas semiestructuradas aplicadas a las analistas de Secretaría General y de la Unidad de Integración Curricular. En el apartado tecnológico, los autores seleccionaron el motor de Procesamiento de Lenguaje Natural Google Dialogflow tras una evaluación comparativa frente a IBM Watson Assistant y Amazon Lex, conectándolo mediante </w:t>
      </w:r>
      <w:r>
        <w:rPr>
          <w:rFonts w:ascii="Times New Roman" w:hAnsi="Times New Roman"/>
          <w:i/>
          <w:color w:val="000000"/>
          <w:sz w:val="24"/>
        </w:rPr>
        <w:t>webhooks</w:t>
      </w:r>
      <w:r>
        <w:rPr>
          <w:rFonts w:ascii="Times New Roman" w:hAnsi="Times New Roman"/>
          <w:i w:val="0"/>
          <w:color w:val="000000"/>
          <w:sz w:val="24"/>
        </w:rPr>
        <w:t xml:space="preserve"> con un servidor en Linode que gestionó la base de datos y un panel web de administración de sesiones; a nivel de interfaz de usuario, se construyó una aplicación móvil con estética de mensajería instantánea utilizando el </w:t>
      </w:r>
      <w:r>
        <w:rPr>
          <w:rFonts w:ascii="Times New Roman" w:hAnsi="Times New Roman"/>
          <w:i/>
          <w:color w:val="000000"/>
          <w:sz w:val="24"/>
        </w:rPr>
        <w:t>framework</w:t>
      </w:r>
      <w:r>
        <w:rPr>
          <w:rFonts w:ascii="Times New Roman" w:hAnsi="Times New Roman"/>
          <w:i w:val="0"/>
          <w:color w:val="000000"/>
          <w:sz w:val="24"/>
        </w:rPr>
        <w:t xml:space="preserve"> híbrido Ionic. Los hallazgos del diagnóstico inicial evidenciaron que el 52,88% de los estudiantes dependía de ventanillas físicas secuenciales y que las cualidades más demandadas para un chatbot eran la precisión en las respuestas (34,17%) y la disponibilidad continua 24/7 (31,65%); posteriormente, la validación del asistente a través de encuestas de satisfacción integradas al cierre de cada interacción demostró que el 75% de las conversaciones proporcionó información plenamente útil y resolutiva para los requerimientos académicos del alumnado. La investigación concluyó que la automatización conversacional móvil descongestiona eficazmente la carga laboral de las dependencias académicas durante los picos de inscripción, recomendando ampliar el entrenamiento de las intenciones de diálogo hacia los servicios y dependencias de toda la universidad para unificar la atención estudiantil.</w:t>
      </w:r>
    </w:p>
    <w:p>
      <w:pPr>
        <w:spacing w:line="360" w:lineRule="auto" w:before="0" w:after="120"/>
        <w:jc w:val="both"/>
      </w:pPr>
      <w:r/>
      <w:r>
        <w:rPr>
          <w:rFonts w:ascii="Times New Roman" w:hAnsi="Times New Roman"/>
          <w:i w:val="0"/>
          <w:color w:val="000000"/>
          <w:sz w:val="24"/>
        </w:rPr>
        <w:t>Kuhail et al. (2023) desarrollaron una revisión sistemática de literatura orientada a clasificar, comparar y reflexionar sobre las técnicas de diseño instruccional y los estilos de interacción humano-computadora implementados en chatbots educativos. La investigación siguió los lineamientos metodológicos para revisiones sistemáticas en ingeniería de software propuestos por Keele, estructurando el protocolo de búsqueda, extracción y síntesis documental con el soporte de la herramienta colaborativa Rayyan. La exploración se efectuó en cuatro bases de datos digitales indexadas (ACM Digital Library, Scopus, IEEE Xplore y SpringerLink) para el decenio comprendido entre 2011 y 2021 mediante ecuaciones booleanas especializadas en agentes conversacionales pedagógicos. A partir de un total inicial de 1208 artículos identificados, un proceso de revisión y descarte por pares bajo criterios de inclusión, exclusión y verificación de rigor empírico consolidó una muestra definitiva de 36 investigaciones primarias (63,88% correspondientes a actas de congresos y 36,11% a artículos de revistas Q1/Q2). Como hallazgos cuantitativos en sus siete dimensiones de análisis, los resultados revelaron que la informática y ciencias de la computación constituyó el área temática más abordada con un 33,33% (enseñanza de lenguajes como Python y Java, bases de datos y redes), seguida por educación general con un 27,77% y aprendizaje de idiomas extranjeros con un 16,66%; a nivel de despliegue, el 69,44% de los chatbots se implementó sobre entornos web, frente a un 16,66% en aplicaciones móviles y un 13,88% en sistemas de escritorio. En cuanto a su rol formativo, el 55,55% operó como agentes de enseñanza directa y el 36,11% como agentes pares de apoyo, predominando una interacción gobernada por el asistente (</w:t>
      </w:r>
      <w:r>
        <w:rPr>
          <w:rFonts w:ascii="Times New Roman" w:hAnsi="Times New Roman"/>
          <w:i/>
          <w:color w:val="000000"/>
          <w:sz w:val="24"/>
        </w:rPr>
        <w:t>chatbot-driven</w:t>
      </w:r>
      <w:r>
        <w:rPr>
          <w:rFonts w:ascii="Times New Roman" w:hAnsi="Times New Roman"/>
          <w:i w:val="0"/>
          <w:color w:val="000000"/>
          <w:sz w:val="24"/>
        </w:rPr>
        <w:t>) en el 88,88% de los casos (52,77% guiados por flujos predeterminados y 36,11% basados en intenciones con herramientas como Dialogflow). Asimismo, el 36,11% de los estudios recurrió a diseños experimentales con grupos de control que evidenciaron mejoras estadísticamente significativas en el aprendizaje y la satisfacción del usuario (p &lt; 0,05), identificando como principales debilidades la escasez de datos para el entrenamiento de los modelos y la falta de aplicación explícita de heurísticas de usabilidad. Los investigadores concluyeron que los agentes conversacionales en entornos web potencian notablemente el aprendizaje personalizado y la retención conceptual, recomendando adoptar marcos de diseño centrado en el usuario y explorar herramientas de desarrollo orientadas al usuario final (</w:t>
      </w:r>
      <w:r>
        <w:rPr>
          <w:rFonts w:ascii="Times New Roman" w:hAnsi="Times New Roman"/>
          <w:i/>
          <w:color w:val="000000"/>
          <w:sz w:val="24"/>
        </w:rPr>
        <w:t>End-User Development</w:t>
      </w:r>
      <w:r>
        <w:rPr>
          <w:rFonts w:ascii="Times New Roman" w:hAnsi="Times New Roman"/>
          <w:i w:val="0"/>
          <w:color w:val="000000"/>
          <w:sz w:val="24"/>
        </w:rPr>
        <w:t>) para agilizar su adopción institucional.</w:t>
      </w:r>
    </w:p>
    <w:p>
      <w:pPr>
        <w:spacing w:line="360" w:lineRule="auto" w:before="0" w:after="120"/>
        <w:jc w:val="both"/>
      </w:pPr>
      <w:r/>
      <w:r>
        <w:rPr>
          <w:rFonts w:ascii="Times New Roman" w:hAnsi="Times New Roman"/>
          <w:i w:val="0"/>
          <w:color w:val="000000"/>
          <w:sz w:val="24"/>
        </w:rPr>
        <w:t>Neumann et al. (2025) diseñaron, implementaron y evaluaron «MoodleBot», un agente conversacional de código abierto impulsado por modelos de lenguaje de gran escala (LLM) y Generación Aumentada por Recuperación (RAG), integrado de forma nativa en la plataforma Moodle para apoyar el aprendizaje autorregulado (SRL) y la resolución de dudas en el curso de Bases de Datos y Sistemas de Información de la Universidad RWTH Aachen (Alemania). La solución tecnológica se construyó utilizando el framework LangChain (</w:t>
      </w:r>
      <w:r>
        <w:rPr>
          <w:rFonts w:ascii="Times New Roman" w:hAnsi="Times New Roman"/>
          <w:i w:val="0"/>
          <w:color w:val="000000"/>
          <w:sz w:val="24"/>
        </w:rPr>
        <w:t>BaseMultiActionAgent</w:t>
      </w:r>
      <w:r>
        <w:rPr>
          <w:rFonts w:ascii="Times New Roman" w:hAnsi="Times New Roman"/>
          <w:i w:val="0"/>
          <w:color w:val="000000"/>
          <w:sz w:val="24"/>
        </w:rPr>
        <w:t xml:space="preserve">) y LlamaIndex sobre el modelo GPT-4 (calibrado a temperatura cero), vinculando una base de datos vectorial Weaviate con incrustaciones generadas por </w:t>
      </w:r>
      <w:r>
        <w:rPr>
          <w:rFonts w:ascii="Times New Roman" w:hAnsi="Times New Roman"/>
          <w:i w:val="0"/>
          <w:color w:val="000000"/>
          <w:sz w:val="24"/>
        </w:rPr>
        <w:t>text-embedding-ada-002</w:t>
      </w:r>
      <w:r>
        <w:rPr>
          <w:rFonts w:ascii="Times New Roman" w:hAnsi="Times New Roman"/>
          <w:i w:val="0"/>
          <w:color w:val="000000"/>
          <w:sz w:val="24"/>
        </w:rPr>
        <w:t xml:space="preserve"> a partir de diapositivas, notas de clase y ejercicios, además de emplear una base de datos MongoDB para la auditoría de costos e historiales de conversación; asimismo, el agente incorporó una cadena </w:t>
      </w:r>
      <w:r>
        <w:rPr>
          <w:rFonts w:ascii="Times New Roman" w:hAnsi="Times New Roman"/>
          <w:i w:val="0"/>
          <w:color w:val="000000"/>
          <w:sz w:val="24"/>
        </w:rPr>
        <w:t>create-stuff-documents-chain</w:t>
      </w:r>
      <w:r>
        <w:rPr>
          <w:rFonts w:ascii="Times New Roman" w:hAnsi="Times New Roman"/>
          <w:i w:val="0"/>
          <w:color w:val="000000"/>
          <w:sz w:val="24"/>
        </w:rPr>
        <w:t xml:space="preserve"> restringida a los cinco fragmentos documentales más relevantes para controlar el gasto computacional. La validación del sistema se sustentó en el Modelo de Aceptación Tecnológica (TAM) mediante un cuestionario en escala Likert (1 a 5) aplicado a una muestra de 46 estudiantes (30 completaron el instrumento en su totalidad), analizado con análisis factorial exploratorio (PCA, varianza explicada del 67%, KMO = 0,7041, esfericidad de Bartlett con p = 0,000 y coeficientes Alfa de Cronbach entre 0,688 y 0,802) y regresión múltiple; paralelamente, la precisión técnica se examinó mediante contraste manual por asistentes docentes (TA) y una cadena automatizada de verificación de hechos (</w:t>
      </w:r>
      <w:r>
        <w:rPr>
          <w:rFonts w:ascii="Times New Roman" w:hAnsi="Times New Roman"/>
          <w:i w:val="0"/>
          <w:color w:val="000000"/>
          <w:sz w:val="24"/>
        </w:rPr>
        <w:t>LLMSummarization-CheckerChain</w:t>
      </w:r>
      <w:r>
        <w:rPr>
          <w:rFonts w:ascii="Times New Roman" w:hAnsi="Times New Roman"/>
          <w:i w:val="0"/>
          <w:color w:val="000000"/>
          <w:sz w:val="24"/>
        </w:rPr>
        <w:t>). Como resultados primordiales, los estudiantes reportaron puntuaciones favorables en facilidad de operación (PEOU3 = 4,60) y utilidad para el estudio de contenidos (PU7 = 4,46), evidenciando que la actitud hacia el bot predijo significativamente la intención de uso continuado (R^2 = 1,0699; p = 0,000); no obstante, la preferencia por el chatbot sobre un tutor humano obtuvo un promedio moderado (BI1 = 2,70), ratificando su función como complemento pedagógico y no como sustituto docente. En el plano técnico, MoodleBot alcanzó una exactitud del 88% en 100 respuestas validadas por el TA, mientras que el fact-checking automático registró una exactitud del 82% pero una baja especificidad (8%), denotando la insuficiencia de emplear el propio LLM como único filtro verificador; finalmente, el costo promedio de las consultas fue de 1,65 USD por estudiante. La investigación concluyó que los agentes RAG embebidos en entornos virtuales de aprendizaje potencian el estudio autónomo y descongestionan los foros de dudas, recomendando explorar modelos de lenguaje de código abierto autoalojados para mitigar la dependencia económica de APIs propietarias.</w:t>
      </w:r>
    </w:p>
    <w:p>
      <w:pPr>
        <w:spacing w:line="360" w:lineRule="auto" w:before="0" w:after="120"/>
        <w:jc w:val="both"/>
      </w:pPr>
      <w:r/>
      <w:r>
        <w:rPr>
          <w:rFonts w:ascii="Times New Roman" w:hAnsi="Times New Roman"/>
          <w:i w:val="0"/>
          <w:color w:val="000000"/>
          <w:sz w:val="24"/>
        </w:rPr>
        <w:t xml:space="preserve">Neupane et al. (2024) desarrollaron y evaluaron empíricamente BARKPLUG v.2, un sistema integral de chatbot basado en modelos de lenguaje masivos y pipelines de Generación Aumentada por Recuperación (RAG), concebido para centralizar y democratizar el acceso a la información académica, administrativa y de servicios en la Mississippi State University (Estados Unidos). La arquitectura del asistente se alimentó mediante un rastreador web multihilo desarrollado con la librería Scrapy que recopiló y normalizó contenidos provenientes de 42 dependencias universitarias (incluyendo departamentos de ingeniería, admisiones, becas, ayuda financiera, alojamiento, biblioteca y seguridad del campus); la información depurada se estructuró a través del divisor </w:t>
      </w:r>
      <w:r>
        <w:rPr>
          <w:rFonts w:ascii="Times New Roman" w:hAnsi="Times New Roman"/>
          <w:i w:val="0"/>
          <w:color w:val="000000"/>
          <w:sz w:val="24"/>
        </w:rPr>
        <w:t>RecursiveCharacterTextSplitter</w:t>
      </w:r>
      <w:r>
        <w:rPr>
          <w:rFonts w:ascii="Times New Roman" w:hAnsi="Times New Roman"/>
          <w:i w:val="0"/>
          <w:color w:val="000000"/>
          <w:sz w:val="24"/>
        </w:rPr>
        <w:t xml:space="preserve"> con fragmentos de 8000 caracteres y un solapamiento de 1200 caracteres, vectorizándose con el modelo </w:t>
      </w:r>
      <w:r>
        <w:rPr>
          <w:rFonts w:ascii="Times New Roman" w:hAnsi="Times New Roman"/>
          <w:i w:val="0"/>
          <w:color w:val="000000"/>
          <w:sz w:val="24"/>
        </w:rPr>
        <w:t>text-embedding-3-large</w:t>
      </w:r>
      <w:r>
        <w:rPr>
          <w:rFonts w:ascii="Times New Roman" w:hAnsi="Times New Roman"/>
          <w:i w:val="0"/>
          <w:color w:val="000000"/>
          <w:sz w:val="24"/>
        </w:rPr>
        <w:t xml:space="preserve"> de OpenAI y almacenándose en la base de datos vectorial ChromaDB bajo una búsqueda por umbral de similitud mínima. La generación de respuestas se implementó mediante la API de GPT-3.5-Turbo de OpenAI orquestada con LangChain, desplegando la aplicación sobre el framework web Django (Python) con capacidades de autenticación, gestión de historiales y envío de consultas por correo electrónico. La eficacia del sistema se midió mediante una doble aproximación: cuantitativa, aplicando el framework RAGAS sobre preguntas de prueba con respuestas de referencia y de usabilidad subjetiva mediante el cuestionario System Usability Scale (SUS) suministrado a 50 estudiantes de posgrado y pregrado. Como hallazgos cuantitativos más relevantes, BARKPLUG v.2 alcanzó una media armónica global RAGAS de 0,96 sobre 1,0 punto (con valores consistentes de 0,96 a 0,97 entre categorías temáticas), registrando una precisión de contexto entre 0,95 y 0,98, cobertura contextual de 0,96 a 0,99, fidelidad de respuesta de 0,96 a 0,99 y relevancia entre 0,96 y 0,99; en la evaluación de extremo a extremo, el sistema obtuvo un 0,8923 en exactitud de respuesta (</w:t>
      </w:r>
      <w:r>
        <w:rPr>
          <w:rFonts w:ascii="Times New Roman" w:hAnsi="Times New Roman"/>
          <w:i/>
          <w:color w:val="000000"/>
          <w:sz w:val="24"/>
        </w:rPr>
        <w:t>answer correctness</w:t>
      </w:r>
      <w:r>
        <w:rPr>
          <w:rFonts w:ascii="Times New Roman" w:hAnsi="Times New Roman"/>
          <w:i w:val="0"/>
          <w:color w:val="000000"/>
          <w:sz w:val="24"/>
        </w:rPr>
        <w:t xml:space="preserve">) para recursos universitarios y un 0,8434 en similitud semántica para programas de ingeniería, mientras que la usabilidad percibida arrojó un puntaje medio SUS de 67,75 puntos, confirmando un nivel de usabilidad práctico y satisfactorio. Los autores concluyeron que la articulación de RAG multidepartamental elimina los fallos de desactualización y alucinación característicos de los modelos LLM estándar aislados, recomendando para etapas posteriores incorporar reconocimiento automático de voz (ASR), soporte multilingüe y técnicas de compresión de contexto </w:t>
      </w:r>
      <w:r>
        <w:rPr>
          <w:rFonts w:ascii="Times New Roman" w:hAnsi="Times New Roman"/>
          <w:i/>
          <w:color w:val="000000"/>
          <w:sz w:val="24"/>
        </w:rPr>
        <w:t>map-reduce</w:t>
      </w:r>
      <w:r>
        <w:rPr>
          <w:rFonts w:ascii="Times New Roman" w:hAnsi="Times New Roman"/>
          <w:i w:val="0"/>
          <w:color w:val="000000"/>
          <w:sz w:val="24"/>
        </w:rPr>
        <w:t>.</w:t>
      </w:r>
    </w:p>
    <w:p>
      <w:pPr>
        <w:spacing w:line="360" w:lineRule="auto" w:before="0" w:after="120"/>
        <w:jc w:val="both"/>
      </w:pPr>
      <w:r/>
      <w:r>
        <w:rPr>
          <w:rFonts w:ascii="Times New Roman" w:hAnsi="Times New Roman"/>
          <w:i w:val="0"/>
          <w:color w:val="000000"/>
          <w:sz w:val="24"/>
        </w:rPr>
        <w:t>Kumar et al. (2026) desarrollaron y evaluaron STAIR (</w:t>
      </w:r>
      <w:r>
        <w:rPr>
          <w:rFonts w:ascii="Times New Roman" w:hAnsi="Times New Roman"/>
          <w:i/>
          <w:color w:val="000000"/>
          <w:sz w:val="24"/>
        </w:rPr>
        <w:t>STructure Aware Information Retriever</w:t>
      </w:r>
      <w:r>
        <w:rPr>
          <w:rFonts w:ascii="Times New Roman" w:hAnsi="Times New Roman"/>
          <w:i w:val="0"/>
          <w:color w:val="000000"/>
          <w:sz w:val="24"/>
        </w:rPr>
        <w:t>), un sistema avanzado de recuperación de información basado en modelos de lenguaje de gran escala (LLM) que indexa y recupera secciones documentales aprovechando la estructura global y jerárquica de la tabla de contenidos (ToC) de textos extensos, abordando las limitaciones de pérdida de contexto (</w:t>
      </w:r>
      <w:r>
        <w:rPr>
          <w:rFonts w:ascii="Times New Roman" w:hAnsi="Times New Roman"/>
          <w:i/>
          <w:color w:val="000000"/>
          <w:sz w:val="24"/>
        </w:rPr>
        <w:t>lost in the middle</w:t>
      </w:r>
      <w:r>
        <w:rPr>
          <w:rFonts w:ascii="Times New Roman" w:hAnsi="Times New Roman"/>
          <w:i w:val="0"/>
          <w:color w:val="000000"/>
          <w:sz w:val="24"/>
        </w:rPr>
        <w:t>) y fragmentación arbitraria de las arquitecturas tradicionales de Generación Aumentada por Recuperación (RAG). Para validar la propuesta, los investigadores construyeron el benchmark multidominio SearchTome a partir de 18 libros extensos pertenecientes a seis áreas del conocimiento (Educación, Finanzas, Derecho, Medicina, Ciencias Naturales y Ciencias Sociales), extrayendo sus índices temáticos mediante PyMuPDF y generando consultas sintéticas pareadas con el modelo Mixtral 8x7B. El flujo de STAIR se implementó adaptando el modelo Mistral Instruct v0.2 mediante ajuste fino supervisado con adaptadores LoRA (r = 16, α = 32) sobre ventanas de contexto de hasta 14 000 tokens (concatenando el ToC completo con la consulta, q + ToC_D), aplicando durante la inferencia una técnica de decodificación restringida que limita la salida exclusivamente a los nodos hoja válidos de la estructura. En la evaluación sobre SearchTome, STAIR alcanzó un Recall@1 de 82,6%, un Recall@3 de 90,8% y un nDCG@3 de 87,5%, superando de forma estadísticamente significativa (p &lt; 0,05 en pruebas de aleatorización en los seis dominios evaluados) al modelo base de índice diferenciable DSI (76,9% en Recall@1, logrando una ganancia del +7,4%), así como a DPR con NV-Embed-v2 (68,7%), BM25 en ElasticSearch (59,5%) y Mistral sin entrenar (13,8%). Asimismo, los estudios de ablación revelaron que el anclaje estructural del ToC redujo la tasa de error a 18,67% con una proporción de alucinación de secciones inexistentes inferior al 0,05% (frente a 3,25% en DSI y 23,86% en Mistral base), demostrando un rendimiento robusto incluso en nodos con escasos ejemplos de entrenamiento. Los autores concluyeron que el uso de estructuras de contenido globales como unidades de recuperación supera las deficiencias del particionado ciego por longitud de texto (</w:t>
      </w:r>
      <w:r>
        <w:rPr>
          <w:rFonts w:ascii="Times New Roman" w:hAnsi="Times New Roman"/>
          <w:i/>
          <w:color w:val="000000"/>
          <w:sz w:val="24"/>
        </w:rPr>
        <w:t>chunking</w:t>
      </w:r>
      <w:r>
        <w:rPr>
          <w:rFonts w:ascii="Times New Roman" w:hAnsi="Times New Roman"/>
          <w:i w:val="0"/>
          <w:color w:val="000000"/>
          <w:sz w:val="24"/>
        </w:rPr>
        <w:t xml:space="preserve"> plano), garantizando una recuperación semántica de alta precisión para sistemas de diálogo y agentes de consulta sobre literatura técnica extensa.</w:t>
      </w:r>
    </w:p>
    <w:p>
      <w:pPr>
        <w:spacing w:line="360" w:lineRule="auto" w:before="0" w:after="120"/>
        <w:jc w:val="both"/>
      </w:pPr>
      <w:r/>
      <w:r>
        <w:rPr>
          <w:rFonts w:ascii="Times New Roman" w:hAnsi="Times New Roman"/>
          <w:i w:val="0"/>
          <w:color w:val="000000"/>
          <w:sz w:val="24"/>
        </w:rPr>
        <w:t xml:space="preserve">Zheng et al. (2023) desarrollaron y validaron empíricamente el paradigma </w:t>
      </w:r>
      <w:r>
        <w:rPr>
          <w:rFonts w:ascii="Times New Roman" w:hAnsi="Times New Roman"/>
          <w:i/>
          <w:color w:val="000000"/>
          <w:sz w:val="24"/>
        </w:rPr>
        <w:t>LLM-as-a-Judge</w:t>
      </w:r>
      <w:r>
        <w:rPr>
          <w:rFonts w:ascii="Times New Roman" w:hAnsi="Times New Roman"/>
          <w:i w:val="0"/>
          <w:color w:val="000000"/>
          <w:sz w:val="24"/>
        </w:rPr>
        <w:t xml:space="preserve">, una metodología automatizada que emplea modelos de lenguaje de gran escala (LLM) de frontera como evaluadores sustitutos del juicio humano para medir la calidad conversacional y la capacidad de seguimiento de instrucciones en asistentes virtuales, abordando la desconexión de los benchmarks tradicionales de preguntas cerradas (como MMLU y HELM) respecto a las preferencias reales de los usuarios. Para fundamentar el marco de evaluación, los autores crearon dos nuevos entornos de prueba: MT-bench, una batería de 80 preguntas complejas de múltiples turnos articulada en ocho categorías temáticas (redacción, </w:t>
      </w:r>
      <w:r>
        <w:rPr>
          <w:rFonts w:ascii="Times New Roman" w:hAnsi="Times New Roman"/>
          <w:i/>
          <w:color w:val="000000"/>
          <w:sz w:val="24"/>
        </w:rPr>
        <w:t>roleplay</w:t>
      </w:r>
      <w:r>
        <w:rPr>
          <w:rFonts w:ascii="Times New Roman" w:hAnsi="Times New Roman"/>
          <w:i w:val="0"/>
          <w:color w:val="000000"/>
          <w:sz w:val="24"/>
        </w:rPr>
        <w:t>, extracción, razonamiento, matemáticas, código, ciencias STEM y humanidades); y Chatbot Arena, una plataforma comunitaria de evaluación anónima a ciegas (</w:t>
      </w:r>
      <w:r>
        <w:rPr>
          <w:rFonts w:ascii="Times New Roman" w:hAnsi="Times New Roman"/>
          <w:i/>
          <w:color w:val="000000"/>
          <w:sz w:val="24"/>
        </w:rPr>
        <w:t>crowdsourced</w:t>
      </w:r>
      <w:r>
        <w:rPr>
          <w:rFonts w:ascii="Times New Roman" w:hAnsi="Times New Roman"/>
          <w:i w:val="0"/>
          <w:color w:val="000000"/>
          <w:sz w:val="24"/>
        </w:rPr>
        <w:t>) en la cual los usuarios interactúan en paralelo con dos modelos y votan por la mejor respuesta. En el plano metodológico, se formalizaron tres modalidades de arbitraje (comparación por pares, asignación directa de puntuación en escala del 1 al 10 y evaluación guiada por respuestas de referencia), diseñando técnicas de mitigación frente a sesgos recurrentes: permutación de respuestas para corregir el sesgo de posición (</w:t>
      </w:r>
      <w:r>
        <w:rPr>
          <w:rFonts w:ascii="Times New Roman" w:hAnsi="Times New Roman"/>
          <w:i/>
          <w:color w:val="000000"/>
          <w:sz w:val="24"/>
        </w:rPr>
        <w:t>swapping positions</w:t>
      </w:r>
      <w:r>
        <w:rPr>
          <w:rFonts w:ascii="Times New Roman" w:hAnsi="Times New Roman"/>
          <w:i w:val="0"/>
          <w:color w:val="000000"/>
          <w:sz w:val="24"/>
        </w:rPr>
        <w:t>), pruebas contra el sesgo de verbosidad excesiva y el uso de prompting con cadena de pensamiento (</w:t>
      </w:r>
      <w:r>
        <w:rPr>
          <w:rFonts w:ascii="Times New Roman" w:hAnsi="Times New Roman"/>
          <w:i/>
          <w:color w:val="000000"/>
          <w:sz w:val="24"/>
        </w:rPr>
        <w:t>Chain-of-Thought</w:t>
      </w:r>
      <w:r>
        <w:rPr>
          <w:rFonts w:ascii="Times New Roman" w:hAnsi="Times New Roman"/>
          <w:i w:val="0"/>
          <w:color w:val="000000"/>
          <w:sz w:val="24"/>
        </w:rPr>
        <w:t>) que redujo los fallos de calificación en problemas lógicos y matemáticos del 70% al 15%. La validación del sistema se contrastó analizando 3000 votos emitidos por 58 evaluadores humanos de nivel experto en MT-bench y una muestra representativa de 3000 juicios sobre un repositorio superior a los 30 000 enfrentamientos en Chatbot Arena. Como hallazgos cuantitativos primordiales, GPT-4 demostró una concordancia del 85% frente a los evaluadores humanos en decisiones sin empate, superando la concordancia interna registrada entre los propios humanos (81%) y alcanzando un 87% de correlación en las votaciones del Arena; adicionalmente, en las discrepancias entre humanos y el modelo, los evaluadores consideraron razonables las justificaciones explicativas de GPT-4 en el 75% de los casos y modificaron su postura inicial en un 34%. En las pruebas de resistencia a la longitud artificial, GPT-4 exhibió una tasa de error de solo 8,7% (frente a 91,3% en GPT-3.5 y Claude-v1), liderando la clasificación de MT-bench con un promedio de 8,99 sobre 10 puntos en contraste con GPT-3.5 (7,94) y modelos abiertos como Vicuna-13B (6,39). Los autores concluyeron que el uso de LLMs avanzados como jueces proporciona una alternativa rigurosa, explicable y altamente escalable para aproximar la evaluación humana en interacciones abiertas, validando su implementación como un estándar robusto para medir la efectividad y alineación de los chatbots conversacionales.</w:t>
      </w:r>
    </w:p>
    <w:p>
      <w:pPr>
        <w:spacing w:line="360" w:lineRule="auto" w:before="0" w:after="120"/>
        <w:jc w:val="both"/>
      </w:pPr>
      <w:r/>
      <w:r>
        <w:rPr>
          <w:rFonts w:ascii="Times New Roman" w:hAnsi="Times New Roman"/>
          <w:i w:val="0"/>
          <w:color w:val="000000"/>
          <w:sz w:val="24"/>
        </w:rPr>
        <w:t>Sarthi et al. (2024) desarrollaron y evaluaron experimentalmente RAPTOR (</w:t>
      </w:r>
      <w:r>
        <w:rPr>
          <w:rFonts w:ascii="Times New Roman" w:hAnsi="Times New Roman"/>
          <w:i/>
          <w:color w:val="000000"/>
          <w:sz w:val="24"/>
        </w:rPr>
        <w:t>Recursive Abstractive Processing for Tree-Organized Retrieval</w:t>
      </w:r>
      <w:r>
        <w:rPr>
          <w:rFonts w:ascii="Times New Roman" w:hAnsi="Times New Roman"/>
          <w:i w:val="0"/>
          <w:color w:val="000000"/>
          <w:sz w:val="24"/>
        </w:rPr>
        <w:t>), un novedoso sistema de indexación y recuperación jerárquico diseñado para potenciar modelos de lenguaje en arquitecturas de Generación Aumentada por Recuperación (RAG) sobre documentos extensos, resolviendo la pérdida de comprensión holística y la incapacidad de razonamiento multietapa de las técnicas convencionales basadas en fragmentación corta y contigua (</w:t>
      </w:r>
      <w:r>
        <w:rPr>
          <w:rFonts w:ascii="Times New Roman" w:hAnsi="Times New Roman"/>
          <w:i/>
          <w:color w:val="000000"/>
          <w:sz w:val="24"/>
        </w:rPr>
        <w:t>chunking</w:t>
      </w:r>
      <w:r>
        <w:rPr>
          <w:rFonts w:ascii="Times New Roman" w:hAnsi="Times New Roman"/>
          <w:i w:val="0"/>
          <w:color w:val="000000"/>
          <w:sz w:val="24"/>
        </w:rPr>
        <w:t xml:space="preserve"> plano). La propuesta metodológica consistió en construir una estructura de árbol ascendente (</w:t>
      </w:r>
      <w:r>
        <w:rPr>
          <w:rFonts w:ascii="Times New Roman" w:hAnsi="Times New Roman"/>
          <w:i/>
          <w:color w:val="000000"/>
          <w:sz w:val="24"/>
        </w:rPr>
        <w:t>bottom-up</w:t>
      </w:r>
      <w:r>
        <w:rPr>
          <w:rFonts w:ascii="Times New Roman" w:hAnsi="Times New Roman"/>
          <w:i w:val="0"/>
          <w:color w:val="000000"/>
          <w:sz w:val="24"/>
        </w:rPr>
        <w:t>) a partir de fragmentos base de 100 tokens que preservan la coherencia oracional, vectorizados mediante el codificador SBERT (</w:t>
      </w:r>
      <w:r>
        <w:rPr>
          <w:rFonts w:ascii="Times New Roman" w:hAnsi="Times New Roman"/>
          <w:i w:val="0"/>
          <w:color w:val="000000"/>
          <w:sz w:val="24"/>
        </w:rPr>
        <w:t>multi-qa-mpnet-base-cos-v1</w:t>
      </w:r>
      <w:r>
        <w:rPr>
          <w:rFonts w:ascii="Times New Roman" w:hAnsi="Times New Roman"/>
          <w:i w:val="0"/>
          <w:color w:val="000000"/>
          <w:sz w:val="24"/>
        </w:rPr>
        <w:t>); dichos segmentos fueron agrupados mediante un algoritmo de agrupamiento suave (</w:t>
      </w:r>
      <w:r>
        <w:rPr>
          <w:rFonts w:ascii="Times New Roman" w:hAnsi="Times New Roman"/>
          <w:i/>
          <w:color w:val="000000"/>
          <w:sz w:val="24"/>
        </w:rPr>
        <w:t>soft clustering</w:t>
      </w:r>
      <w:r>
        <w:rPr>
          <w:rFonts w:ascii="Times New Roman" w:hAnsi="Times New Roman"/>
          <w:i w:val="0"/>
          <w:color w:val="000000"/>
          <w:sz w:val="24"/>
        </w:rPr>
        <w:t>) basado en Modelos de Mezcla Gaussiana (GMM) con reducción de dimensionalidad por UMAP y selección óptima por el Criterio de Información Bayesiano (BIC), para luego generar resúmenes abstractivos de cada clúster empleando GPT-3.5-Turbo (con una tasa de compresión media del 72%) y repetir recursivamente el proceso de re-incrustación hasta alcanzar la raíz. Para la recuperación en inferencia, los autores implementaron el método de árbol colapsado (</w:t>
      </w:r>
      <w:r>
        <w:rPr>
          <w:rFonts w:ascii="Times New Roman" w:hAnsi="Times New Roman"/>
          <w:i/>
          <w:color w:val="000000"/>
          <w:sz w:val="24"/>
        </w:rPr>
        <w:t>collapsed tree</w:t>
      </w:r>
      <w:r>
        <w:rPr>
          <w:rFonts w:ascii="Times New Roman" w:hAnsi="Times New Roman"/>
          <w:i w:val="0"/>
          <w:color w:val="000000"/>
          <w:sz w:val="24"/>
        </w:rPr>
        <w:t xml:space="preserve">), el cual aplana la jerarquía y compara la consulta simultáneamente contra todos los nodos y resúmenes mediante similitud de coseno y búsqueda vectorial rápida con FAISS hasta un umbral de 2000 tokens. La solución se evaluó en tres exigentes conjuntos de datos para textos voluminosos (QuALITY, QASPER y NarrativeQA) acoplada a tres modelos lectores (UnifiedQA 3B, GPT-3 y GPT-4). Como resultados sobresalientes, RAPTOR junto a GPT-4 fijó un nuevo récord en el benchmark QuALITY al alcanzar una precisión global del 82,6% (superando en 20,3 puntos porcentuales absolutos al mejor registro previo de 62,3%) y un 76,2% en el subconjunto desafiante </w:t>
      </w:r>
      <w:r>
        <w:rPr>
          <w:rFonts w:ascii="Times New Roman" w:hAnsi="Times New Roman"/>
          <w:i/>
          <w:color w:val="000000"/>
          <w:sz w:val="24"/>
        </w:rPr>
        <w:t>QuALITY-HARD</w:t>
      </w:r>
      <w:r>
        <w:rPr>
          <w:rFonts w:ascii="Times New Roman" w:hAnsi="Times New Roman"/>
          <w:i w:val="0"/>
          <w:color w:val="000000"/>
          <w:sz w:val="24"/>
        </w:rPr>
        <w:t xml:space="preserve"> (superando por 21,5% al estado del arte CoLISA); en QASPER, logró una puntuación F1 líder de 55,7%, batiendo a recuperadores densos (DPR) y léxicos (BM25) por márgenes de hasta 4,5 y 10,2 puntos; asimismo, en NarrativeQA obtuvo un récord METEOR de 19,10%. Los estudios de ablación constataron que entre el 18,5% y el 57,36% de los nodos recuperados correspondieron a resúmenes de capas no hojas, demostrando además un escalado estrictamente lineal en tiempo y consumo de tokens para textos de hasta 78 000 tokens procesados en hardware de consumo. Los investigadores concluyeron que articular representaciones recursivas a distintos niveles de abstracción semántica permite a los asistentes virtuales responder con precisión tanto a dudas temáticas complejas como a detalles puntuales, consolidando a RAPTOR como un referente esencial para optimizar la recuperación contextual en chatbots institucionales y educativos.</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b w:val="0"/>
          <w:i w:val="0"/>
          <w:color w:val="000000"/>
          <w:sz w:val="24"/>
        </w:rPr>
        <w:t xml:space="preserve">Adamopoulou, E., &amp; Moussiades, L. (2020). Chatbots: History, technology, and applications. </w:t>
      </w:r>
      <w:r>
        <w:rPr>
          <w:rFonts w:ascii="Times New Roman" w:hAnsi="Times New Roman"/>
          <w:b w:val="0"/>
          <w:i/>
          <w:color w:val="000000"/>
          <w:sz w:val="24"/>
        </w:rPr>
        <w:t>Machine Learning with Applications</w:t>
      </w:r>
      <w:r>
        <w:rPr>
          <w:rFonts w:ascii="Times New Roman" w:hAnsi="Times New Roman"/>
          <w:b w:val="0"/>
          <w:i w:val="0"/>
          <w:color w:val="000000"/>
          <w:sz w:val="24"/>
        </w:rPr>
        <w:t>, 2, Artículo 100006. https://doi.org/10.1016/j.mlwa.2020.100006</w:t>
      </w:r>
    </w:p>
    <w:p>
      <w:pPr>
        <w:spacing w:line="360" w:lineRule="auto" w:after="120"/>
        <w:ind w:left="720" w:hanging="720"/>
        <w:jc w:val="both"/>
      </w:pPr>
      <w:r>
        <w:rPr>
          <w:rFonts w:ascii="Times New Roman" w:hAnsi="Times New Roman"/>
          <w:b w:val="0"/>
          <w:i w:val="0"/>
          <w:color w:val="000000"/>
          <w:sz w:val="24"/>
        </w:rPr>
        <w:t xml:space="preserve">Banu, A. (2023). The impact of technology integration in educational management and administration. </w:t>
      </w:r>
      <w:r>
        <w:rPr>
          <w:rFonts w:ascii="Times New Roman" w:hAnsi="Times New Roman"/>
          <w:b w:val="0"/>
          <w:i/>
          <w:color w:val="000000"/>
          <w:sz w:val="24"/>
        </w:rPr>
        <w:t>International Journal for Multidisciplinary Research (IJFMR)</w:t>
      </w:r>
      <w:r>
        <w:rPr>
          <w:rFonts w:ascii="Times New Roman" w:hAnsi="Times New Roman"/>
          <w:b w:val="0"/>
          <w:i w:val="0"/>
          <w:color w:val="000000"/>
          <w:sz w:val="24"/>
        </w:rPr>
        <w:t>, 5(6), 1–8. https://doi.org/10.36948/ijfmr.2023.v05i06.10858</w:t>
      </w:r>
    </w:p>
    <w:p>
      <w:pPr>
        <w:spacing w:line="360" w:lineRule="auto" w:after="120"/>
        <w:ind w:left="720" w:hanging="720"/>
        <w:jc w:val="both"/>
      </w:pPr>
      <w:r>
        <w:rPr>
          <w:rFonts w:ascii="Times New Roman" w:hAnsi="Times New Roman"/>
          <w:b w:val="0"/>
          <w:i w:val="0"/>
          <w:color w:val="000000"/>
          <w:sz w:val="24"/>
        </w:rPr>
        <w:t xml:space="preserve">Gómez Padilla, J. C., &amp; Pantaleón Sirlopú, A. G. (2024). </w:t>
      </w:r>
      <w:r>
        <w:rPr>
          <w:rFonts w:ascii="Times New Roman" w:hAnsi="Times New Roman"/>
          <w:b w:val="0"/>
          <w:i/>
          <w:color w:val="000000"/>
          <w:sz w:val="24"/>
        </w:rPr>
        <w:t>Entrevista diagnóstica aplicada al personal de operaciones de tecnologías de la información de la Universidad Señor de Sipán</w:t>
      </w:r>
      <w:r>
        <w:rPr>
          <w:rFonts w:ascii="Times New Roman" w:hAnsi="Times New Roman"/>
          <w:b w:val="0"/>
          <w:i w:val="0"/>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b w:val="0"/>
          <w:i w:val="0"/>
          <w:color w:val="000000"/>
          <w:sz w:val="24"/>
        </w:rPr>
        <w:t xml:space="preserve">Green Software Foundation. (2024, 17 de octubre). </w:t>
      </w:r>
      <w:r>
        <w:rPr>
          <w:rFonts w:ascii="Times New Roman" w:hAnsi="Times New Roman"/>
          <w:b w:val="0"/>
          <w:i/>
          <w:color w:val="000000"/>
          <w:sz w:val="24"/>
        </w:rPr>
        <w:t>The EU AI Act: Insights from the Green AI Committee</w:t>
      </w:r>
      <w:r>
        <w:rPr>
          <w:rFonts w:ascii="Times New Roman" w:hAnsi="Times New Roman"/>
          <w:b w:val="0"/>
          <w:i w:val="0"/>
          <w:color w:val="000000"/>
          <w:sz w:val="24"/>
        </w:rPr>
        <w:t>. https://greensoftware.foundation/articles/the-eu-ai-act-insights-from-the-green-ai-committee/</w:t>
      </w:r>
    </w:p>
    <w:p>
      <w:pPr>
        <w:spacing w:line="360" w:lineRule="auto" w:after="120"/>
        <w:ind w:left="720" w:hanging="720"/>
        <w:jc w:val="both"/>
      </w:pPr>
      <w:r>
        <w:rPr>
          <w:rFonts w:ascii="Times New Roman" w:hAnsi="Times New Roman"/>
          <w:b w:val="0"/>
          <w:i w:val="0"/>
          <w:color w:val="000000"/>
          <w:sz w:val="24"/>
        </w:rPr>
        <w:t xml:space="preserve">Hu, E. J., Shen, Y., Wallis, P., Allen-Zhu, Z., Li, Y., Wang, S., Wang, L., &amp; Chen, W. (2021). LoRA: Low-rank adaptation of large language models. </w:t>
      </w:r>
      <w:r>
        <w:rPr>
          <w:rFonts w:ascii="Times New Roman" w:hAnsi="Times New Roman"/>
          <w:b w:val="0"/>
          <w:i/>
          <w:color w:val="000000"/>
          <w:sz w:val="24"/>
        </w:rPr>
        <w:t>arXiv preprint arXiv:2106.09685</w:t>
      </w:r>
      <w:r>
        <w:rPr>
          <w:rFonts w:ascii="Times New Roman" w:hAnsi="Times New Roman"/>
          <w:b w:val="0"/>
          <w:i w:val="0"/>
          <w:color w:val="000000"/>
          <w:sz w:val="24"/>
        </w:rPr>
        <w:t>. https://doi.org/10.48550/arXiv.2106.09685</w:t>
      </w:r>
    </w:p>
    <w:p>
      <w:pPr>
        <w:spacing w:line="360" w:lineRule="auto" w:after="120"/>
        <w:ind w:left="720" w:hanging="720"/>
        <w:jc w:val="both"/>
      </w:pPr>
      <w:r>
        <w:rPr>
          <w:rFonts w:ascii="Times New Roman" w:hAnsi="Times New Roman"/>
          <w:b w:val="0"/>
          <w:i w:val="0"/>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b w:val="0"/>
          <w:i/>
          <w:color w:val="000000"/>
          <w:sz w:val="24"/>
        </w:rPr>
        <w:t>arXiv preprint arXiv:2609.03874</w:t>
      </w:r>
      <w:r>
        <w:rPr>
          <w:rFonts w:ascii="Times New Roman" w:hAnsi="Times New Roman"/>
          <w:b w:val="0"/>
          <w:i w:val="0"/>
          <w:color w:val="000000"/>
          <w:sz w:val="24"/>
        </w:rPr>
        <w:t>. https://doi.org/10.48550/arXiv.2609.03874</w:t>
      </w:r>
    </w:p>
    <w:p>
      <w:pPr>
        <w:spacing w:line="360" w:lineRule="auto" w:after="120"/>
        <w:ind w:left="720" w:hanging="720"/>
        <w:jc w:val="both"/>
      </w:pPr>
      <w:r>
        <w:rPr>
          <w:rFonts w:ascii="Times New Roman" w:hAnsi="Times New Roman"/>
          <w:b w:val="0"/>
          <w:i w:val="0"/>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b w:val="0"/>
          <w:i/>
          <w:color w:val="000000"/>
          <w:sz w:val="24"/>
        </w:rPr>
        <w:t>Advances in Neural Information Processing Systems (NeurIPS 2020)</w:t>
      </w:r>
      <w:r>
        <w:rPr>
          <w:rFonts w:ascii="Times New Roman" w:hAnsi="Times New Roman"/>
          <w:b w:val="0"/>
          <w:i w:val="0"/>
          <w:color w:val="000000"/>
          <w:sz w:val="24"/>
        </w:rPr>
        <w:t>, 33, 9459–9474. https://doi.org/10.48550/arXiv.2005.11401</w:t>
      </w:r>
    </w:p>
    <w:p>
      <w:pPr>
        <w:spacing w:line="360" w:lineRule="auto" w:after="120"/>
        <w:ind w:left="720" w:hanging="720"/>
        <w:jc w:val="both"/>
      </w:pPr>
      <w:r>
        <w:rPr>
          <w:rFonts w:ascii="Times New Roman" w:hAnsi="Times New Roman"/>
          <w:b w:val="0"/>
          <w:i w:val="0"/>
          <w:color w:val="000000"/>
          <w:sz w:val="24"/>
        </w:rPr>
        <w:t xml:space="preserve">Noguchi, O., Munechika, M., &amp; Kajihara, C. (2016). A study on user satisfaction with an entire operation including indefinite-length response time. </w:t>
      </w:r>
      <w:r>
        <w:rPr>
          <w:rFonts w:ascii="Times New Roman" w:hAnsi="Times New Roman"/>
          <w:b w:val="0"/>
          <w:i/>
          <w:color w:val="000000"/>
          <w:sz w:val="24"/>
        </w:rPr>
        <w:t>Total Quality Science</w:t>
      </w:r>
      <w:r>
        <w:rPr>
          <w:rFonts w:ascii="Times New Roman" w:hAnsi="Times New Roman"/>
          <w:b w:val="0"/>
          <w:i w:val="0"/>
          <w:color w:val="000000"/>
          <w:sz w:val="24"/>
        </w:rPr>
        <w:t>, 2(2), 70–79. https://doi.org/10.17929/tqs.2.70</w:t>
      </w:r>
    </w:p>
    <w:p>
      <w:pPr>
        <w:spacing w:line="360" w:lineRule="auto" w:after="120"/>
        <w:ind w:left="720" w:hanging="720"/>
        <w:jc w:val="both"/>
      </w:pPr>
      <w:r>
        <w:rPr>
          <w:rFonts w:ascii="Times New Roman" w:hAnsi="Times New Roman"/>
          <w:b w:val="0"/>
          <w:i w:val="0"/>
          <w:color w:val="000000"/>
          <w:sz w:val="24"/>
        </w:rPr>
        <w:t xml:space="preserve">Okonkwo, C. W., &amp; Ade-Ibijola, A. (2021). Chatbots applications in education: A systematic review. </w:t>
      </w:r>
      <w:r>
        <w:rPr>
          <w:rFonts w:ascii="Times New Roman" w:hAnsi="Times New Roman"/>
          <w:b w:val="0"/>
          <w:i/>
          <w:color w:val="000000"/>
          <w:sz w:val="24"/>
        </w:rPr>
        <w:t>Computers and Education: Artificial Intelligence</w:t>
      </w:r>
      <w:r>
        <w:rPr>
          <w:rFonts w:ascii="Times New Roman" w:hAnsi="Times New Roman"/>
          <w:b w:val="0"/>
          <w:i w:val="0"/>
          <w:color w:val="000000"/>
          <w:sz w:val="24"/>
        </w:rPr>
        <w:t>, 2, Artículo 100033. https://doi.org/10.1016/j.caeai.2021.100033</w:t>
      </w:r>
    </w:p>
    <w:p>
      <w:pPr>
        <w:spacing w:line="360" w:lineRule="auto" w:after="120"/>
        <w:ind w:left="720" w:hanging="720"/>
        <w:jc w:val="both"/>
      </w:pPr>
      <w:r>
        <w:rPr>
          <w:rFonts w:ascii="Times New Roman" w:hAnsi="Times New Roman"/>
          <w:b w:val="0"/>
          <w:i w:val="0"/>
          <w:color w:val="000000"/>
          <w:sz w:val="24"/>
        </w:rPr>
        <w:t xml:space="preserve">Organización de las Naciones Unidas. (2015). </w:t>
      </w:r>
      <w:r>
        <w:rPr>
          <w:rFonts w:ascii="Times New Roman" w:hAnsi="Times New Roman"/>
          <w:b w:val="0"/>
          <w:i/>
          <w:color w:val="000000"/>
          <w:sz w:val="24"/>
        </w:rPr>
        <w:t>Transformar nuestro mundo: la Agenda 2030 para el Desarrollo Sostenible</w:t>
      </w:r>
      <w:r>
        <w:rPr>
          <w:rFonts w:ascii="Times New Roman" w:hAnsi="Times New Roman"/>
          <w:b w:val="0"/>
          <w:i w:val="0"/>
          <w:color w:val="000000"/>
          <w:sz w:val="24"/>
        </w:rPr>
        <w:t xml:space="preserve"> (Resolución A/RES/70/1). Naciones Unidas. https://undocs.org/es/A/RES/70/1</w:t>
      </w:r>
    </w:p>
    <w:p>
      <w:pPr>
        <w:spacing w:line="360" w:lineRule="auto" w:after="120"/>
        <w:ind w:left="720" w:hanging="720"/>
        <w:jc w:val="both"/>
      </w:pPr>
      <w:r>
        <w:rPr>
          <w:rFonts w:ascii="Times New Roman" w:hAnsi="Times New Roman"/>
          <w:b w:val="0"/>
          <w:i w:val="0"/>
          <w:color w:val="000000"/>
          <w:sz w:val="24"/>
        </w:rPr>
        <w:t xml:space="preserve">Organización de las Naciones Unidas. (2023). </w:t>
      </w:r>
      <w:r>
        <w:rPr>
          <w:rFonts w:ascii="Times New Roman" w:hAnsi="Times New Roman"/>
          <w:b w:val="0"/>
          <w:i/>
          <w:color w:val="000000"/>
          <w:sz w:val="24"/>
        </w:rPr>
        <w:t>Informe sobre los Objetivos de Desarrollo Sostenible 2023: Edición especial</w:t>
      </w:r>
      <w:r>
        <w:rPr>
          <w:rFonts w:ascii="Times New Roman" w:hAnsi="Times New Roman"/>
          <w:b w:val="0"/>
          <w:i w:val="0"/>
          <w:color w:val="000000"/>
          <w:sz w:val="24"/>
        </w:rPr>
        <w:t>. Naciones Unidas. https://unstats.un.org/sdgs/report/2023/</w:t>
      </w:r>
    </w:p>
    <w:p>
      <w:pPr>
        <w:spacing w:line="360" w:lineRule="auto" w:after="120"/>
        <w:ind w:left="720" w:hanging="720"/>
        <w:jc w:val="both"/>
      </w:pPr>
      <w:r>
        <w:rPr>
          <w:rFonts w:ascii="Times New Roman" w:hAnsi="Times New Roman"/>
          <w:b w:val="0"/>
          <w:i w:val="0"/>
          <w:color w:val="000000"/>
          <w:sz w:val="24"/>
        </w:rPr>
        <w:t xml:space="preserve">Schwartz, R., Dodge, J., Smith, N. A., &amp; Etzioni, O. (2020). Green AI. </w:t>
      </w:r>
      <w:r>
        <w:rPr>
          <w:rFonts w:ascii="Times New Roman" w:hAnsi="Times New Roman"/>
          <w:b w:val="0"/>
          <w:i/>
          <w:color w:val="000000"/>
          <w:sz w:val="24"/>
        </w:rPr>
        <w:t>Communications of the ACM</w:t>
      </w:r>
      <w:r>
        <w:rPr>
          <w:rFonts w:ascii="Times New Roman" w:hAnsi="Times New Roman"/>
          <w:b w:val="0"/>
          <w:i w:val="0"/>
          <w:color w:val="000000"/>
          <w:sz w:val="24"/>
        </w:rPr>
        <w:t>, 63(12), 54–63. https://doi.org/10.1145/3381831</w:t>
      </w:r>
    </w:p>
    <w:p>
      <w:pPr>
        <w:spacing w:line="360" w:lineRule="auto" w:after="120"/>
        <w:ind w:left="720" w:hanging="720"/>
        <w:jc w:val="both"/>
      </w:pPr>
      <w:r>
        <w:rPr>
          <w:rFonts w:ascii="Times New Roman" w:hAnsi="Times New Roman"/>
          <w:b w:val="0"/>
          <w:i w:val="0"/>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b w:val="0"/>
          <w:i/>
          <w:color w:val="000000"/>
          <w:sz w:val="24"/>
        </w:rPr>
        <w:t>Information</w:t>
      </w:r>
      <w:r>
        <w:rPr>
          <w:rFonts w:ascii="Times New Roman" w:hAnsi="Times New Roman"/>
          <w:b w:val="0"/>
          <w:i w:val="0"/>
          <w:color w:val="000000"/>
          <w:sz w:val="24"/>
        </w:rPr>
        <w:t>, 12(3), Artículo 111. https://doi.org/10.3390/info12030111</w:t>
      </w:r>
    </w:p>
    <w:p>
      <w:pPr>
        <w:spacing w:line="360" w:lineRule="auto" w:after="120"/>
        <w:ind w:left="720" w:hanging="720"/>
        <w:jc w:val="both"/>
      </w:pPr>
      <w:r>
        <w:rPr>
          <w:rFonts w:ascii="Times New Roman" w:hAnsi="Times New Roman"/>
          <w:b w:val="0"/>
          <w:i w:val="0"/>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b w:val="0"/>
          <w:i/>
          <w:color w:val="000000"/>
          <w:sz w:val="24"/>
        </w:rPr>
        <w:t>Diario Oficial de la Unión Europea</w:t>
      </w:r>
      <w:r>
        <w:rPr>
          <w:rFonts w:ascii="Times New Roman" w:hAnsi="Times New Roman"/>
          <w:b w:val="0"/>
          <w:i w:val="0"/>
          <w:color w:val="000000"/>
          <w:sz w:val="24"/>
        </w:rPr>
        <w:t>, L 2024/1689. https://data.europa.eu/eli/reg/2024/1689/oj</w:t>
      </w:r>
    </w:p>
    <w:p>
      <w:pPr>
        <w:spacing w:line="360" w:lineRule="auto" w:after="120"/>
        <w:ind w:left="720" w:hanging="720"/>
        <w:jc w:val="both"/>
      </w:pPr>
      <w:r>
        <w:rPr>
          <w:rFonts w:ascii="Times New Roman" w:hAnsi="Times New Roman"/>
          <w:b w:val="0"/>
          <w:i w:val="0"/>
          <w:color w:val="000000"/>
          <w:sz w:val="24"/>
        </w:rPr>
        <w:t xml:space="preserve">Vaswani, A., Shazeer, N., Parmar, N., Uszkoreit, J., Jones, L., Gomez, A. N., Kaiser, Ł., &amp; Polosukhin, I. (2017). Attention is all you need. </w:t>
      </w:r>
      <w:r>
        <w:rPr>
          <w:rFonts w:ascii="Times New Roman" w:hAnsi="Times New Roman"/>
          <w:b w:val="0"/>
          <w:i/>
          <w:color w:val="000000"/>
          <w:sz w:val="24"/>
        </w:rPr>
        <w:t>Advances in Neural Information Processing Systems (NeurIPS 2017)</w:t>
      </w:r>
      <w:r>
        <w:rPr>
          <w:rFonts w:ascii="Times New Roman" w:hAnsi="Times New Roman"/>
          <w:b w:val="0"/>
          <w:i w:val="0"/>
          <w:color w:val="000000"/>
          <w:sz w:val="24"/>
        </w:rPr>
        <w:t>, 30, 5998–6008.</w:t>
      </w:r>
    </w:p>
    <w:p>
      <w:pPr>
        <w:spacing w:line="360" w:lineRule="auto" w:after="120"/>
        <w:ind w:left="720" w:hanging="720"/>
        <w:jc w:val="both"/>
      </w:pPr>
      <w:r>
        <w:rPr>
          <w:rFonts w:ascii="Times New Roman" w:hAnsi="Times New Roman"/>
          <w:b w:val="0"/>
          <w:i w:val="0"/>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b w:val="0"/>
          <w:i/>
          <w:color w:val="000000"/>
          <w:sz w:val="24"/>
        </w:rPr>
        <w:t>Advances in Neural Information Processing Systems (NeurIPS 2023)</w:t>
      </w:r>
      <w:r>
        <w:rPr>
          <w:rFonts w:ascii="Times New Roman" w:hAnsi="Times New Roman"/>
          <w:b w:val="0"/>
          <w:i w:val="0"/>
          <w:color w:val="000000"/>
          <w:sz w:val="24"/>
        </w:rPr>
        <w:t>, 36, 46595–46623. https://doi.org/10.48550/arXiv.2306.05685</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footerReference w:type="default" r:id="rId10"/>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Times New Roman" w:hAnsi="Times New Roman"/>
        <w:sz w:val="24"/>
        <w:szCs w:val="24"/>
      </w:rPr>
      <w:fldChar w:fldCharType="begin"/>
    </w:r>
    <w:r>
      <w:rPr>
        <w:rFonts w:ascii="Times New Roman" w:hAnsi="Times New Roman"/>
        <w:sz w:val="24"/>
        <w:szCs w:val="24"/>
      </w:rPr>
      <w:instrText xml:space="preserve"> PAGE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