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AC1" w:rsidRDefault="00620AC1" w:rsidP="00620AC1">
      <w:pPr>
        <w:spacing w:after="0" w:line="240" w:lineRule="auto"/>
        <w:jc w:val="center"/>
        <w:rPr>
          <w:rFonts w:ascii="Arial" w:eastAsia="Times New Roman" w:hAnsi="Arial" w:cs="Arial"/>
          <w:b/>
          <w:bCs/>
          <w:i/>
          <w:iCs/>
          <w:sz w:val="24"/>
          <w:szCs w:val="24"/>
        </w:rPr>
      </w:pPr>
      <w:r w:rsidRPr="00620AC1">
        <w:rPr>
          <w:rFonts w:ascii="Arial" w:eastAsia="Times New Roman" w:hAnsi="Arial" w:cs="Arial"/>
          <w:b/>
          <w:bCs/>
          <w:i/>
          <w:iCs/>
          <w:sz w:val="24"/>
          <w:szCs w:val="24"/>
        </w:rPr>
        <w:t>What Is A Classical Baptist Church?</w:t>
      </w:r>
    </w:p>
    <w:p w:rsidR="00620AC1" w:rsidRDefault="00620AC1" w:rsidP="00620AC1">
      <w:pPr>
        <w:spacing w:after="0" w:line="240" w:lineRule="auto"/>
        <w:jc w:val="center"/>
        <w:rPr>
          <w:rFonts w:ascii="Arial" w:eastAsia="Times New Roman" w:hAnsi="Arial" w:cs="Arial"/>
          <w:i/>
          <w:iCs/>
          <w:sz w:val="24"/>
          <w:szCs w:val="24"/>
        </w:rPr>
      </w:pPr>
      <w:r w:rsidRPr="00620AC1">
        <w:rPr>
          <w:rFonts w:ascii="Arial" w:eastAsia="Times New Roman" w:hAnsi="Arial" w:cs="Arial"/>
          <w:i/>
          <w:iCs/>
          <w:sz w:val="24"/>
          <w:szCs w:val="24"/>
        </w:rPr>
        <w:t xml:space="preserve">By Dr. John S. </w:t>
      </w:r>
      <w:proofErr w:type="spellStart"/>
      <w:r w:rsidRPr="00620AC1">
        <w:rPr>
          <w:rFonts w:ascii="Arial" w:eastAsia="Times New Roman" w:hAnsi="Arial" w:cs="Arial"/>
          <w:i/>
          <w:iCs/>
          <w:sz w:val="24"/>
          <w:szCs w:val="24"/>
        </w:rPr>
        <w:t>Waldrip</w:t>
      </w:r>
      <w:proofErr w:type="spellEnd"/>
    </w:p>
    <w:p w:rsidR="004C4F3F" w:rsidRPr="00620AC1" w:rsidRDefault="004C4F3F" w:rsidP="00620AC1">
      <w:pPr>
        <w:spacing w:after="0" w:line="240" w:lineRule="auto"/>
        <w:jc w:val="center"/>
        <w:rPr>
          <w:rFonts w:ascii="Arial" w:eastAsia="Times New Roman" w:hAnsi="Arial" w:cs="Arial"/>
          <w:sz w:val="24"/>
          <w:szCs w:val="24"/>
        </w:rPr>
      </w:pPr>
    </w:p>
    <w:p w:rsidR="00620AC1" w:rsidRDefault="00620AC1" w:rsidP="00620AC1">
      <w:pPr>
        <w:spacing w:after="0" w:line="240" w:lineRule="auto"/>
        <w:ind w:firstLine="547"/>
        <w:rPr>
          <w:rFonts w:ascii="Arial" w:eastAsia="Times New Roman" w:hAnsi="Arial" w:cs="Arial"/>
          <w:sz w:val="24"/>
          <w:szCs w:val="24"/>
        </w:rPr>
      </w:pPr>
      <w:r w:rsidRPr="00620AC1">
        <w:rPr>
          <w:rFonts w:ascii="Arial" w:eastAsia="Times New Roman" w:hAnsi="Arial" w:cs="Arial"/>
          <w:sz w:val="24"/>
          <w:szCs w:val="24"/>
        </w:rPr>
        <w:t xml:space="preserve">What is a classical Baptist </w:t>
      </w:r>
      <w:r>
        <w:rPr>
          <w:rFonts w:ascii="Arial" w:eastAsia="Times New Roman" w:hAnsi="Arial" w:cs="Arial"/>
          <w:sz w:val="24"/>
          <w:szCs w:val="24"/>
        </w:rPr>
        <w:t>C</w:t>
      </w:r>
      <w:r w:rsidRPr="00620AC1">
        <w:rPr>
          <w:rFonts w:ascii="Arial" w:eastAsia="Times New Roman" w:hAnsi="Arial" w:cs="Arial"/>
          <w:sz w:val="24"/>
          <w:szCs w:val="24"/>
        </w:rPr>
        <w:t xml:space="preserve">hurch? Let me begin by answering that there is no unanimity among Baptists on this </w:t>
      </w:r>
      <w:r w:rsidRPr="00620AC1">
        <w:rPr>
          <w:rFonts w:ascii="Arial" w:eastAsia="Times New Roman" w:hAnsi="Arial" w:cs="Arial"/>
          <w:noProof/>
          <w:sz w:val="24"/>
          <w:szCs w:val="24"/>
        </w:rPr>
        <w:t>issue</w:t>
      </w:r>
      <w:r w:rsidRPr="00620AC1">
        <w:rPr>
          <w:rFonts w:ascii="Arial" w:eastAsia="Times New Roman" w:hAnsi="Arial" w:cs="Arial"/>
          <w:sz w:val="24"/>
          <w:szCs w:val="24"/>
        </w:rPr>
        <w:t xml:space="preserve"> since Baptists have historically been committed to the autonomy of the local congregation as opposed to the denominational oversight of congregations so typical of the Church of Rome and the mainline Protestant organizations. However, from this pastor’s perspective, several features may be consistently found in what I envision to be classical Baptists:</w:t>
      </w:r>
    </w:p>
    <w:p w:rsidR="00620AC1" w:rsidRDefault="00620AC1" w:rsidP="00620AC1">
      <w:pPr>
        <w:spacing w:after="0" w:line="240" w:lineRule="auto"/>
        <w:ind w:firstLine="547"/>
        <w:rPr>
          <w:rFonts w:ascii="Arial" w:eastAsia="Times New Roman" w:hAnsi="Arial" w:cs="Arial"/>
          <w:sz w:val="24"/>
          <w:szCs w:val="24"/>
        </w:rPr>
      </w:pPr>
      <w:r w:rsidRPr="00620AC1">
        <w:rPr>
          <w:rFonts w:ascii="Arial" w:eastAsia="Times New Roman" w:hAnsi="Arial" w:cs="Arial"/>
          <w:sz w:val="24"/>
          <w:szCs w:val="24"/>
        </w:rPr>
        <w:t xml:space="preserve">First, classical Baptists are Baptists that are committed to </w:t>
      </w:r>
      <w:r>
        <w:rPr>
          <w:rFonts w:ascii="Arial" w:eastAsia="Times New Roman" w:hAnsi="Arial" w:cs="Arial"/>
          <w:sz w:val="24"/>
          <w:szCs w:val="24"/>
        </w:rPr>
        <w:t>G</w:t>
      </w:r>
      <w:r w:rsidRPr="00620AC1">
        <w:rPr>
          <w:rFonts w:ascii="Arial" w:eastAsia="Times New Roman" w:hAnsi="Arial" w:cs="Arial"/>
          <w:sz w:val="24"/>
          <w:szCs w:val="24"/>
        </w:rPr>
        <w:t xml:space="preserve">ospel preaching. Strange as this may sound, many these days (including Baptists) seem to have abandoned </w:t>
      </w:r>
      <w:r>
        <w:rPr>
          <w:rFonts w:ascii="Arial" w:eastAsia="Times New Roman" w:hAnsi="Arial" w:cs="Arial"/>
          <w:sz w:val="24"/>
          <w:szCs w:val="24"/>
        </w:rPr>
        <w:t>G</w:t>
      </w:r>
      <w:r w:rsidRPr="00620AC1">
        <w:rPr>
          <w:rFonts w:ascii="Arial" w:eastAsia="Times New Roman" w:hAnsi="Arial" w:cs="Arial"/>
          <w:sz w:val="24"/>
          <w:szCs w:val="24"/>
        </w:rPr>
        <w:t xml:space="preserve">ospel preaching in favor of what </w:t>
      </w:r>
      <w:r w:rsidRPr="00B35428">
        <w:rPr>
          <w:rFonts w:ascii="Arial" w:eastAsia="Times New Roman" w:hAnsi="Arial" w:cs="Arial"/>
          <w:noProof/>
          <w:sz w:val="24"/>
          <w:szCs w:val="24"/>
        </w:rPr>
        <w:t>is commonly referred</w:t>
      </w:r>
      <w:r w:rsidRPr="00620AC1">
        <w:rPr>
          <w:rFonts w:ascii="Arial" w:eastAsia="Times New Roman" w:hAnsi="Arial" w:cs="Arial"/>
          <w:sz w:val="24"/>
          <w:szCs w:val="24"/>
        </w:rPr>
        <w:t xml:space="preserve"> to as expository preaching. However, the risen Savior related all Scripture to Himself in Luke 24.27. Thus, real exposition of God’s Word involves showing how</w:t>
      </w:r>
      <w:r>
        <w:rPr>
          <w:rFonts w:ascii="Arial" w:eastAsia="Times New Roman" w:hAnsi="Arial" w:cs="Arial"/>
          <w:sz w:val="24"/>
          <w:szCs w:val="24"/>
        </w:rPr>
        <w:t xml:space="preserve"> </w:t>
      </w:r>
      <w:r w:rsidRPr="00620AC1">
        <w:rPr>
          <w:rFonts w:ascii="Arial" w:eastAsia="Times New Roman" w:hAnsi="Arial" w:cs="Arial"/>
          <w:i/>
          <w:iCs/>
          <w:sz w:val="24"/>
          <w:szCs w:val="24"/>
        </w:rPr>
        <w:t>everything</w:t>
      </w:r>
      <w:r>
        <w:rPr>
          <w:rFonts w:ascii="Arial" w:eastAsia="Times New Roman" w:hAnsi="Arial" w:cs="Arial"/>
          <w:i/>
          <w:iCs/>
          <w:sz w:val="24"/>
          <w:szCs w:val="24"/>
        </w:rPr>
        <w:t xml:space="preserve"> </w:t>
      </w:r>
      <w:r w:rsidRPr="00620AC1">
        <w:rPr>
          <w:rFonts w:ascii="Arial" w:eastAsia="Times New Roman" w:hAnsi="Arial" w:cs="Arial"/>
          <w:sz w:val="24"/>
          <w:szCs w:val="24"/>
        </w:rPr>
        <w:t xml:space="preserve">in the Bible points to the </w:t>
      </w:r>
      <w:r>
        <w:rPr>
          <w:rFonts w:ascii="Arial" w:eastAsia="Times New Roman" w:hAnsi="Arial" w:cs="Arial"/>
          <w:sz w:val="24"/>
          <w:szCs w:val="24"/>
        </w:rPr>
        <w:t>G</w:t>
      </w:r>
      <w:r w:rsidRPr="00620AC1">
        <w:rPr>
          <w:rFonts w:ascii="Arial" w:eastAsia="Times New Roman" w:hAnsi="Arial" w:cs="Arial"/>
          <w:sz w:val="24"/>
          <w:szCs w:val="24"/>
        </w:rPr>
        <w:t xml:space="preserve">ospel. No wonder some of the most astute Bible preachers in history (among them notable Baptists) had congregations that were thoroughly conversant in Bible </w:t>
      </w:r>
      <w:r w:rsidRPr="00620AC1">
        <w:rPr>
          <w:rFonts w:ascii="Arial" w:eastAsia="Times New Roman" w:hAnsi="Arial" w:cs="Arial"/>
          <w:noProof/>
          <w:sz w:val="24"/>
          <w:szCs w:val="24"/>
        </w:rPr>
        <w:t>truth</w:t>
      </w:r>
      <w:r w:rsidRPr="00620AC1">
        <w:rPr>
          <w:rFonts w:ascii="Arial" w:eastAsia="Times New Roman" w:hAnsi="Arial" w:cs="Arial"/>
          <w:sz w:val="24"/>
          <w:szCs w:val="24"/>
        </w:rPr>
        <w:t xml:space="preserve"> because their exposure to the gospel from texts throughout God’s Word acquainted them with the core and theme of the Bible message.</w:t>
      </w:r>
    </w:p>
    <w:p w:rsidR="00620AC1" w:rsidRDefault="00620AC1" w:rsidP="00620AC1">
      <w:pPr>
        <w:spacing w:after="0" w:line="240" w:lineRule="auto"/>
        <w:ind w:firstLine="547"/>
        <w:rPr>
          <w:rFonts w:ascii="Arial" w:eastAsia="Times New Roman" w:hAnsi="Arial" w:cs="Arial"/>
          <w:sz w:val="24"/>
          <w:szCs w:val="24"/>
        </w:rPr>
      </w:pPr>
      <w:r w:rsidRPr="00620AC1">
        <w:rPr>
          <w:rFonts w:ascii="Arial" w:eastAsia="Times New Roman" w:hAnsi="Arial" w:cs="Arial"/>
          <w:sz w:val="24"/>
          <w:szCs w:val="24"/>
        </w:rPr>
        <w:t xml:space="preserve">Second, classical Baptists are Baptists that are committed to an approach to evangelism that has largely fallen out of favor since the impact of Charles G. Finney’s ministry has </w:t>
      </w:r>
      <w:r w:rsidRPr="00B35428">
        <w:rPr>
          <w:rFonts w:ascii="Arial" w:eastAsia="Times New Roman" w:hAnsi="Arial" w:cs="Arial"/>
          <w:noProof/>
          <w:sz w:val="24"/>
          <w:szCs w:val="24"/>
        </w:rPr>
        <w:t>been felt</w:t>
      </w:r>
      <w:r w:rsidRPr="00620AC1">
        <w:rPr>
          <w:rFonts w:ascii="Arial" w:eastAsia="Times New Roman" w:hAnsi="Arial" w:cs="Arial"/>
          <w:sz w:val="24"/>
          <w:szCs w:val="24"/>
        </w:rPr>
        <w:t xml:space="preserve">. Finney, exposing himself in his writings as a follower of Pelagius, was opposed to monergism, the notion that the salvation of a sinner originates with God rather than being the combined effort of God and man. Sadly, many Baptists succumbed to the influence of Finney over the past two centuries for pragmatic reasons, not recognizing that his philosophy of revival and evangelism </w:t>
      </w:r>
      <w:r w:rsidRPr="00B35428">
        <w:rPr>
          <w:rFonts w:ascii="Arial" w:eastAsia="Times New Roman" w:hAnsi="Arial" w:cs="Arial"/>
          <w:noProof/>
          <w:sz w:val="24"/>
          <w:szCs w:val="24"/>
        </w:rPr>
        <w:t>is based</w:t>
      </w:r>
      <w:r w:rsidRPr="00620AC1">
        <w:rPr>
          <w:rFonts w:ascii="Arial" w:eastAsia="Times New Roman" w:hAnsi="Arial" w:cs="Arial"/>
          <w:sz w:val="24"/>
          <w:szCs w:val="24"/>
        </w:rPr>
        <w:t xml:space="preserve"> on a deeply flawed understanding of man’s depravity and Christ’s saving work. Thus, the classical Baptist’s model for effective evangelism is first God’s Word and second influenced by such notables as Jonathan Edwards, Charles H. Spurgeon, George Whitefield, Adoniram Judson, and William Carey.</w:t>
      </w:r>
    </w:p>
    <w:p w:rsidR="00620AC1" w:rsidRDefault="00620AC1" w:rsidP="00620AC1">
      <w:pPr>
        <w:spacing w:after="0" w:line="240" w:lineRule="auto"/>
        <w:ind w:firstLine="547"/>
        <w:rPr>
          <w:rFonts w:ascii="Arial" w:eastAsia="Times New Roman" w:hAnsi="Arial" w:cs="Arial"/>
          <w:sz w:val="24"/>
          <w:szCs w:val="24"/>
        </w:rPr>
      </w:pPr>
      <w:r w:rsidRPr="00620AC1">
        <w:rPr>
          <w:rFonts w:ascii="Arial" w:eastAsia="Times New Roman" w:hAnsi="Arial" w:cs="Arial"/>
          <w:sz w:val="24"/>
          <w:szCs w:val="24"/>
        </w:rPr>
        <w:t xml:space="preserve">Third, classical Baptists are deeply committed to the reality and implications of a sinner’s depravity. The result of this commitment is an understanding that the sinner’s heart is deceitful and incapable of unaided honesty. Therefore, it is crucial to any consideration of administering believer baptism or admitting into </w:t>
      </w:r>
      <w:r>
        <w:rPr>
          <w:rFonts w:ascii="Arial" w:eastAsia="Times New Roman" w:hAnsi="Arial" w:cs="Arial"/>
          <w:sz w:val="24"/>
          <w:szCs w:val="24"/>
        </w:rPr>
        <w:t>C</w:t>
      </w:r>
      <w:r w:rsidRPr="00620AC1">
        <w:rPr>
          <w:rFonts w:ascii="Arial" w:eastAsia="Times New Roman" w:hAnsi="Arial" w:cs="Arial"/>
          <w:sz w:val="24"/>
          <w:szCs w:val="24"/>
        </w:rPr>
        <w:t>hurch membership that the candidate’s conversion t</w:t>
      </w:r>
      <w:r>
        <w:rPr>
          <w:rFonts w:ascii="Arial" w:eastAsia="Times New Roman" w:hAnsi="Arial" w:cs="Arial"/>
          <w:sz w:val="24"/>
          <w:szCs w:val="24"/>
        </w:rPr>
        <w:t>estimony, comprehension of the G</w:t>
      </w:r>
      <w:r w:rsidRPr="00620AC1">
        <w:rPr>
          <w:rFonts w:ascii="Arial" w:eastAsia="Times New Roman" w:hAnsi="Arial" w:cs="Arial"/>
          <w:sz w:val="24"/>
          <w:szCs w:val="24"/>
        </w:rPr>
        <w:t xml:space="preserve">ospel, and manner of life since conversion </w:t>
      </w:r>
      <w:r w:rsidRPr="00B35428">
        <w:rPr>
          <w:rFonts w:ascii="Arial" w:eastAsia="Times New Roman" w:hAnsi="Arial" w:cs="Arial"/>
          <w:noProof/>
          <w:sz w:val="24"/>
          <w:szCs w:val="24"/>
        </w:rPr>
        <w:t>be carefully considered</w:t>
      </w:r>
      <w:r w:rsidRPr="00620AC1">
        <w:rPr>
          <w:rFonts w:ascii="Arial" w:eastAsia="Times New Roman" w:hAnsi="Arial" w:cs="Arial"/>
          <w:sz w:val="24"/>
          <w:szCs w:val="24"/>
        </w:rPr>
        <w:t xml:space="preserve">. </w:t>
      </w:r>
      <w:r w:rsidRPr="00B35428">
        <w:rPr>
          <w:rFonts w:ascii="Arial" w:eastAsia="Times New Roman" w:hAnsi="Arial" w:cs="Arial"/>
          <w:noProof/>
          <w:sz w:val="24"/>
          <w:szCs w:val="24"/>
        </w:rPr>
        <w:t>To accept as true a person’s declaration that he is a Christian, without discerning clarification, is an unwarranted and dangerous violation of the biblical principle that nothing is to be accepted as true which does not have the attestation of two or three witnesses of fact (</w:t>
      </w:r>
      <w:r w:rsidRPr="00B35428">
        <w:rPr>
          <w:rFonts w:ascii="Arial" w:hAnsi="Arial" w:cs="Arial"/>
          <w:noProof/>
          <w:sz w:val="24"/>
          <w:szCs w:val="24"/>
        </w:rPr>
        <w:t>Numbers 35.30; Deuteronomy 17.6-7; Joshua 24.22; Ruth 4.9-11; Job 10.17; Isaiah 8.2; 43.9-12; 44.8-9; Jeremiah 32.10, 12, 25, 44; Matthew 18.15-20; Luke 24.46-48; Acts 1.8; 2.32; 3.15; 5.32; 10.39-40; 13.31; 2 Corinthians 13.1; 1 Thessalonians 2.10; 1 Timothy 5.19; 6.12; Hebrews 10.28; 1 John 4.1; 5.7-9; Revelation 1.1; 2.2)</w:t>
      </w:r>
      <w:r w:rsidRPr="00B35428">
        <w:rPr>
          <w:rFonts w:ascii="Arial" w:eastAsia="Times New Roman" w:hAnsi="Arial" w:cs="Arial"/>
          <w:noProof/>
          <w:sz w:val="24"/>
          <w:szCs w:val="24"/>
        </w:rPr>
        <w:t>.</w:t>
      </w:r>
    </w:p>
    <w:p w:rsidR="00620AC1" w:rsidRDefault="00620AC1" w:rsidP="00620AC1">
      <w:pPr>
        <w:spacing w:after="0" w:line="240" w:lineRule="auto"/>
        <w:ind w:firstLine="547"/>
        <w:rPr>
          <w:rFonts w:ascii="Arial" w:eastAsia="Times New Roman" w:hAnsi="Arial" w:cs="Arial"/>
          <w:sz w:val="24"/>
          <w:szCs w:val="24"/>
        </w:rPr>
      </w:pPr>
      <w:r w:rsidRPr="00620AC1">
        <w:rPr>
          <w:rFonts w:ascii="Arial" w:eastAsia="Times New Roman" w:hAnsi="Arial" w:cs="Arial"/>
          <w:sz w:val="24"/>
          <w:szCs w:val="24"/>
        </w:rPr>
        <w:t xml:space="preserve">Fourth, classical Baptists </w:t>
      </w:r>
      <w:r w:rsidRPr="00B35428">
        <w:rPr>
          <w:rFonts w:ascii="Arial" w:eastAsia="Times New Roman" w:hAnsi="Arial" w:cs="Arial"/>
          <w:noProof/>
          <w:sz w:val="24"/>
          <w:szCs w:val="24"/>
        </w:rPr>
        <w:t>are convinced</w:t>
      </w:r>
      <w:r w:rsidRPr="00620AC1">
        <w:rPr>
          <w:rFonts w:ascii="Arial" w:eastAsia="Times New Roman" w:hAnsi="Arial" w:cs="Arial"/>
          <w:sz w:val="24"/>
          <w:szCs w:val="24"/>
        </w:rPr>
        <w:t xml:space="preserve"> the new birth is a transformative miracle that is wrought by the Holy Spirit in the life of the sinner who comes to Jesus Christ in r</w:t>
      </w:r>
      <w:r>
        <w:rPr>
          <w:rFonts w:ascii="Arial" w:eastAsia="Times New Roman" w:hAnsi="Arial" w:cs="Arial"/>
          <w:sz w:val="24"/>
          <w:szCs w:val="24"/>
        </w:rPr>
        <w:t>esponse to his exposure to the G</w:t>
      </w:r>
      <w:r w:rsidRPr="00620AC1">
        <w:rPr>
          <w:rFonts w:ascii="Arial" w:eastAsia="Times New Roman" w:hAnsi="Arial" w:cs="Arial"/>
          <w:sz w:val="24"/>
          <w:szCs w:val="24"/>
        </w:rPr>
        <w:t xml:space="preserve">ospel message. </w:t>
      </w:r>
      <w:r w:rsidRPr="00B35428">
        <w:rPr>
          <w:rFonts w:ascii="Arial" w:eastAsia="Times New Roman" w:hAnsi="Arial" w:cs="Arial"/>
          <w:noProof/>
          <w:sz w:val="24"/>
          <w:szCs w:val="24"/>
        </w:rPr>
        <w:t>To</w:t>
      </w:r>
      <w:r w:rsidRPr="00620AC1">
        <w:rPr>
          <w:rFonts w:ascii="Arial" w:eastAsia="Times New Roman" w:hAnsi="Arial" w:cs="Arial"/>
          <w:sz w:val="24"/>
          <w:szCs w:val="24"/>
        </w:rPr>
        <w:t xml:space="preserve"> many these days, there is no expectation of a different manner of life following conversion. However, the English </w:t>
      </w:r>
      <w:r w:rsidRPr="00620AC1">
        <w:rPr>
          <w:rFonts w:ascii="Arial" w:eastAsia="Times New Roman" w:hAnsi="Arial" w:cs="Arial"/>
          <w:sz w:val="24"/>
          <w:szCs w:val="24"/>
        </w:rPr>
        <w:lastRenderedPageBreak/>
        <w:t xml:space="preserve">Baptist pastor and author John Bunyan articulated </w:t>
      </w:r>
      <w:r>
        <w:rPr>
          <w:rFonts w:ascii="Arial" w:eastAsia="Times New Roman" w:hAnsi="Arial" w:cs="Arial"/>
          <w:sz w:val="24"/>
          <w:szCs w:val="24"/>
        </w:rPr>
        <w:t xml:space="preserve">an </w:t>
      </w:r>
      <w:r w:rsidRPr="00620AC1">
        <w:rPr>
          <w:rFonts w:ascii="Arial" w:eastAsia="Times New Roman" w:hAnsi="Arial" w:cs="Arial"/>
          <w:sz w:val="24"/>
          <w:szCs w:val="24"/>
        </w:rPr>
        <w:t>understanding of the new birth in his widely read</w:t>
      </w:r>
      <w:r>
        <w:rPr>
          <w:rFonts w:ascii="Arial" w:eastAsia="Times New Roman" w:hAnsi="Arial" w:cs="Arial"/>
          <w:sz w:val="24"/>
          <w:szCs w:val="24"/>
        </w:rPr>
        <w:t xml:space="preserve"> </w:t>
      </w:r>
      <w:r w:rsidRPr="00620AC1">
        <w:rPr>
          <w:rFonts w:ascii="Arial" w:eastAsia="Times New Roman" w:hAnsi="Arial" w:cs="Arial"/>
          <w:i/>
          <w:iCs/>
          <w:sz w:val="24"/>
          <w:szCs w:val="24"/>
        </w:rPr>
        <w:t>Pilgrim’s Progress</w:t>
      </w:r>
      <w:r w:rsidRPr="00620AC1">
        <w:rPr>
          <w:rFonts w:ascii="Arial" w:eastAsia="Times New Roman" w:hAnsi="Arial" w:cs="Arial"/>
          <w:sz w:val="24"/>
          <w:szCs w:val="24"/>
        </w:rPr>
        <w:t xml:space="preserve"> </w:t>
      </w:r>
      <w:r>
        <w:rPr>
          <w:rFonts w:ascii="Arial" w:eastAsia="Times New Roman" w:hAnsi="Arial" w:cs="Arial"/>
          <w:sz w:val="24"/>
          <w:szCs w:val="24"/>
        </w:rPr>
        <w:t xml:space="preserve">that is consistent with </w:t>
      </w:r>
      <w:r w:rsidRPr="00620AC1">
        <w:rPr>
          <w:rFonts w:ascii="Arial" w:eastAsia="Times New Roman" w:hAnsi="Arial" w:cs="Arial"/>
          <w:sz w:val="24"/>
          <w:szCs w:val="24"/>
        </w:rPr>
        <w:t>classical Baptist</w:t>
      </w:r>
      <w:r>
        <w:rPr>
          <w:rFonts w:ascii="Arial" w:eastAsia="Times New Roman" w:hAnsi="Arial" w:cs="Arial"/>
          <w:sz w:val="24"/>
          <w:szCs w:val="24"/>
        </w:rPr>
        <w:t xml:space="preserve"> convictions about this matter.</w:t>
      </w:r>
      <w:r w:rsidRPr="00620AC1">
        <w:rPr>
          <w:rFonts w:ascii="Arial" w:eastAsia="Times New Roman" w:hAnsi="Arial" w:cs="Arial"/>
          <w:sz w:val="24"/>
          <w:szCs w:val="24"/>
        </w:rPr>
        <w:t xml:space="preserve"> Do Christian’s sin? Sadly, we do sin. However, the blood</w:t>
      </w:r>
      <w:r>
        <w:rPr>
          <w:rFonts w:ascii="Arial" w:eastAsia="Times New Roman" w:hAnsi="Arial" w:cs="Arial"/>
          <w:sz w:val="24"/>
          <w:szCs w:val="24"/>
        </w:rPr>
        <w:t>-</w:t>
      </w:r>
      <w:r w:rsidRPr="00620AC1">
        <w:rPr>
          <w:rFonts w:ascii="Arial" w:eastAsia="Times New Roman" w:hAnsi="Arial" w:cs="Arial"/>
          <w:sz w:val="24"/>
          <w:szCs w:val="24"/>
        </w:rPr>
        <w:t>bought and blood</w:t>
      </w:r>
      <w:r>
        <w:rPr>
          <w:rFonts w:ascii="Arial" w:eastAsia="Times New Roman" w:hAnsi="Arial" w:cs="Arial"/>
          <w:sz w:val="24"/>
          <w:szCs w:val="24"/>
        </w:rPr>
        <w:t>-</w:t>
      </w:r>
      <w:r w:rsidRPr="00620AC1">
        <w:rPr>
          <w:rFonts w:ascii="Arial" w:eastAsia="Times New Roman" w:hAnsi="Arial" w:cs="Arial"/>
          <w:sz w:val="24"/>
          <w:szCs w:val="24"/>
        </w:rPr>
        <w:t>washed child of God is not the same person and does not live the same life after conversion as he did before His saving encounter with Christ.</w:t>
      </w:r>
    </w:p>
    <w:p w:rsidR="00620AC1" w:rsidRDefault="00620AC1" w:rsidP="00620AC1">
      <w:pPr>
        <w:spacing w:after="0" w:line="240" w:lineRule="auto"/>
        <w:ind w:firstLine="547"/>
        <w:rPr>
          <w:rFonts w:ascii="Arial" w:eastAsia="Times New Roman" w:hAnsi="Arial" w:cs="Arial"/>
          <w:sz w:val="24"/>
          <w:szCs w:val="24"/>
        </w:rPr>
      </w:pPr>
      <w:r w:rsidRPr="00620AC1">
        <w:rPr>
          <w:rFonts w:ascii="Arial" w:eastAsia="Times New Roman" w:hAnsi="Arial" w:cs="Arial"/>
          <w:sz w:val="24"/>
          <w:szCs w:val="24"/>
        </w:rPr>
        <w:t xml:space="preserve">Fifth, classical Baptists strongly resist the tendency of some to be tossed about by every wind of change and the latest fads. We embrace an old message communicated to sinners the old way and decry the depersonalization of contemporary evangelism. Though the Christian life is personal, it is not private and is intended to </w:t>
      </w:r>
      <w:r w:rsidRPr="00B35428">
        <w:rPr>
          <w:rFonts w:ascii="Arial" w:eastAsia="Times New Roman" w:hAnsi="Arial" w:cs="Arial"/>
          <w:noProof/>
          <w:sz w:val="24"/>
          <w:szCs w:val="24"/>
        </w:rPr>
        <w:t>be lived</w:t>
      </w:r>
      <w:r w:rsidRPr="00620AC1">
        <w:rPr>
          <w:rFonts w:ascii="Arial" w:eastAsia="Times New Roman" w:hAnsi="Arial" w:cs="Arial"/>
          <w:sz w:val="24"/>
          <w:szCs w:val="24"/>
        </w:rPr>
        <w:t xml:space="preserve"> with others in the congregation. In like manner, the </w:t>
      </w:r>
      <w:r w:rsidR="00B35428">
        <w:rPr>
          <w:rFonts w:ascii="Arial" w:eastAsia="Times New Roman" w:hAnsi="Arial" w:cs="Arial"/>
          <w:sz w:val="24"/>
          <w:szCs w:val="24"/>
        </w:rPr>
        <w:t>G</w:t>
      </w:r>
      <w:r w:rsidRPr="00620AC1">
        <w:rPr>
          <w:rFonts w:ascii="Arial" w:eastAsia="Times New Roman" w:hAnsi="Arial" w:cs="Arial"/>
          <w:sz w:val="24"/>
          <w:szCs w:val="24"/>
        </w:rPr>
        <w:t>ospel ministry may be conducted on a large scale to masses as well as to individuals, though conversion occurs when Jesus becomes the personal savior through</w:t>
      </w:r>
      <w:r w:rsidR="004C4F3F">
        <w:rPr>
          <w:rFonts w:ascii="Arial" w:eastAsia="Times New Roman" w:hAnsi="Arial" w:cs="Arial"/>
          <w:sz w:val="24"/>
          <w:szCs w:val="24"/>
        </w:rPr>
        <w:t xml:space="preserve"> the</w:t>
      </w:r>
      <w:r w:rsidRPr="00620AC1">
        <w:rPr>
          <w:rFonts w:ascii="Arial" w:eastAsia="Times New Roman" w:hAnsi="Arial" w:cs="Arial"/>
          <w:sz w:val="24"/>
          <w:szCs w:val="24"/>
        </w:rPr>
        <w:t xml:space="preserve"> </w:t>
      </w:r>
      <w:r w:rsidRPr="00620AC1">
        <w:rPr>
          <w:rFonts w:ascii="Arial" w:eastAsia="Times New Roman" w:hAnsi="Arial" w:cs="Arial"/>
          <w:noProof/>
          <w:sz w:val="24"/>
          <w:szCs w:val="24"/>
        </w:rPr>
        <w:t>faith</w:t>
      </w:r>
      <w:r w:rsidRPr="00620AC1">
        <w:rPr>
          <w:rFonts w:ascii="Arial" w:eastAsia="Times New Roman" w:hAnsi="Arial" w:cs="Arial"/>
          <w:sz w:val="24"/>
          <w:szCs w:val="24"/>
        </w:rPr>
        <w:t xml:space="preserve"> of the sinner.</w:t>
      </w:r>
    </w:p>
    <w:p w:rsidR="004C4F3F" w:rsidRDefault="00620AC1" w:rsidP="00620AC1">
      <w:pPr>
        <w:spacing w:after="0" w:line="240" w:lineRule="auto"/>
        <w:ind w:firstLine="547"/>
        <w:rPr>
          <w:rFonts w:ascii="Arial" w:eastAsia="Times New Roman" w:hAnsi="Arial" w:cs="Arial"/>
          <w:sz w:val="24"/>
          <w:szCs w:val="24"/>
        </w:rPr>
      </w:pPr>
      <w:r w:rsidRPr="00B35428">
        <w:rPr>
          <w:rFonts w:ascii="Arial" w:eastAsia="Times New Roman" w:hAnsi="Arial" w:cs="Arial"/>
          <w:noProof/>
          <w:sz w:val="24"/>
          <w:szCs w:val="24"/>
        </w:rPr>
        <w:t xml:space="preserve">Sixth, classical Baptists reject the Protestant view of the </w:t>
      </w:r>
      <w:r w:rsidR="004C4F3F" w:rsidRPr="00B35428">
        <w:rPr>
          <w:rFonts w:ascii="Arial" w:eastAsia="Times New Roman" w:hAnsi="Arial" w:cs="Arial"/>
          <w:noProof/>
          <w:sz w:val="24"/>
          <w:szCs w:val="24"/>
        </w:rPr>
        <w:t>C</w:t>
      </w:r>
      <w:r w:rsidRPr="00B35428">
        <w:rPr>
          <w:rFonts w:ascii="Arial" w:eastAsia="Times New Roman" w:hAnsi="Arial" w:cs="Arial"/>
          <w:noProof/>
          <w:sz w:val="24"/>
          <w:szCs w:val="24"/>
        </w:rPr>
        <w:t>hurch set forth in the Westminster Confession of Faith</w:t>
      </w:r>
      <w:r w:rsidR="00D35F04" w:rsidRPr="00B35428">
        <w:rPr>
          <w:rFonts w:ascii="Arial" w:eastAsia="Times New Roman" w:hAnsi="Arial" w:cs="Arial"/>
          <w:noProof/>
          <w:sz w:val="24"/>
          <w:szCs w:val="24"/>
        </w:rPr>
        <w:t xml:space="preserve"> (Chapter XXV – Of the Church), as well as the view of the </w:t>
      </w:r>
      <w:r w:rsidR="004C4F3F" w:rsidRPr="00B35428">
        <w:rPr>
          <w:rFonts w:ascii="Arial" w:eastAsia="Times New Roman" w:hAnsi="Arial" w:cs="Arial"/>
          <w:noProof/>
          <w:sz w:val="24"/>
          <w:szCs w:val="24"/>
        </w:rPr>
        <w:t>C</w:t>
      </w:r>
      <w:r w:rsidR="00D35F04" w:rsidRPr="00B35428">
        <w:rPr>
          <w:rFonts w:ascii="Arial" w:eastAsia="Times New Roman" w:hAnsi="Arial" w:cs="Arial"/>
          <w:noProof/>
          <w:sz w:val="24"/>
          <w:szCs w:val="24"/>
        </w:rPr>
        <w:t>hurch set forth in what is commonly referred to as the Second London Baptist Confession of Faith of 1689 (Chapter XXVI – Of the Church).</w:t>
      </w:r>
      <w:r w:rsidR="00D35F04">
        <w:rPr>
          <w:rFonts w:ascii="Arial" w:eastAsia="Times New Roman" w:hAnsi="Arial" w:cs="Arial"/>
          <w:sz w:val="24"/>
          <w:szCs w:val="24"/>
        </w:rPr>
        <w:t xml:space="preserve"> </w:t>
      </w:r>
      <w:r w:rsidR="004C4F3F">
        <w:rPr>
          <w:rFonts w:ascii="Arial" w:eastAsia="Times New Roman" w:hAnsi="Arial" w:cs="Arial"/>
          <w:sz w:val="24"/>
          <w:szCs w:val="24"/>
        </w:rPr>
        <w:t>Classical Baptists embrace the conviction that the Church of Jesus Christ was established by the Savior during His earthly ministry, empowered by the Spirit on the Day of Pentecost, and subsequently divided into multiple congregations that established other Churches. Only in heaven will the Church be universal and consist of all Church Age believers in Jesus Christ (Hebrews 12.23).</w:t>
      </w:r>
    </w:p>
    <w:p w:rsidR="004C4F3F" w:rsidRDefault="00620AC1" w:rsidP="00620AC1">
      <w:pPr>
        <w:spacing w:after="0" w:line="240" w:lineRule="auto"/>
        <w:ind w:firstLine="547"/>
        <w:rPr>
          <w:rFonts w:ascii="Arial" w:eastAsia="Times New Roman" w:hAnsi="Arial" w:cs="Arial"/>
          <w:sz w:val="24"/>
          <w:szCs w:val="24"/>
        </w:rPr>
      </w:pPr>
      <w:r w:rsidRPr="00B35428">
        <w:rPr>
          <w:rFonts w:ascii="Arial" w:eastAsia="Times New Roman" w:hAnsi="Arial" w:cs="Arial"/>
          <w:noProof/>
          <w:sz w:val="24"/>
          <w:szCs w:val="24"/>
        </w:rPr>
        <w:t xml:space="preserve">Finally, classical Baptists are missionary Baptists, recognizing our Great Commission is rightly obeyed when Christians </w:t>
      </w:r>
      <w:r w:rsidR="004C4F3F" w:rsidRPr="00B35428">
        <w:rPr>
          <w:rFonts w:ascii="Arial" w:eastAsia="Times New Roman" w:hAnsi="Arial" w:cs="Arial"/>
          <w:noProof/>
          <w:sz w:val="24"/>
          <w:szCs w:val="24"/>
        </w:rPr>
        <w:t xml:space="preserve">render </w:t>
      </w:r>
      <w:r w:rsidRPr="00B35428">
        <w:rPr>
          <w:rFonts w:ascii="Arial" w:eastAsia="Times New Roman" w:hAnsi="Arial" w:cs="Arial"/>
          <w:noProof/>
          <w:sz w:val="24"/>
          <w:szCs w:val="24"/>
        </w:rPr>
        <w:t>serv</w:t>
      </w:r>
      <w:r w:rsidR="004C4F3F" w:rsidRPr="00B35428">
        <w:rPr>
          <w:rFonts w:ascii="Arial" w:eastAsia="Times New Roman" w:hAnsi="Arial" w:cs="Arial"/>
          <w:noProof/>
          <w:sz w:val="24"/>
          <w:szCs w:val="24"/>
        </w:rPr>
        <w:t>ic</w:t>
      </w:r>
      <w:r w:rsidRPr="00B35428">
        <w:rPr>
          <w:rFonts w:ascii="Arial" w:eastAsia="Times New Roman" w:hAnsi="Arial" w:cs="Arial"/>
          <w:noProof/>
          <w:sz w:val="24"/>
          <w:szCs w:val="24"/>
        </w:rPr>
        <w:t>e to</w:t>
      </w:r>
      <w:r w:rsidR="004C4F3F" w:rsidRPr="00B35428">
        <w:rPr>
          <w:rFonts w:ascii="Arial" w:eastAsia="Times New Roman" w:hAnsi="Arial" w:cs="Arial"/>
          <w:noProof/>
          <w:sz w:val="24"/>
          <w:szCs w:val="24"/>
        </w:rPr>
        <w:t xml:space="preserve"> Christ to,</w:t>
      </w:r>
      <w:r w:rsidRPr="00B35428">
        <w:rPr>
          <w:rFonts w:ascii="Arial" w:eastAsia="Times New Roman" w:hAnsi="Arial" w:cs="Arial"/>
          <w:noProof/>
          <w:sz w:val="24"/>
          <w:szCs w:val="24"/>
        </w:rPr>
        <w:t xml:space="preserve"> through, and from congregations where there is accountability, the administration of the two ordinances, and properly administered discipline, and when congregations are involved in starting other </w:t>
      </w:r>
      <w:r w:rsidR="004C4F3F" w:rsidRPr="00B35428">
        <w:rPr>
          <w:rFonts w:ascii="Arial" w:eastAsia="Times New Roman" w:hAnsi="Arial" w:cs="Arial"/>
          <w:noProof/>
          <w:sz w:val="24"/>
          <w:szCs w:val="24"/>
        </w:rPr>
        <w:t>C</w:t>
      </w:r>
      <w:r w:rsidRPr="00B35428">
        <w:rPr>
          <w:rFonts w:ascii="Arial" w:eastAsia="Times New Roman" w:hAnsi="Arial" w:cs="Arial"/>
          <w:noProof/>
          <w:sz w:val="24"/>
          <w:szCs w:val="24"/>
        </w:rPr>
        <w:t>hurches to carry out the Great Commission in other places.</w:t>
      </w:r>
    </w:p>
    <w:p w:rsidR="00B07A21" w:rsidRPr="00620AC1" w:rsidRDefault="00620AC1" w:rsidP="00620AC1">
      <w:pPr>
        <w:spacing w:after="0" w:line="240" w:lineRule="auto"/>
        <w:ind w:firstLine="547"/>
        <w:rPr>
          <w:sz w:val="24"/>
          <w:szCs w:val="24"/>
        </w:rPr>
      </w:pPr>
      <w:r w:rsidRPr="00620AC1">
        <w:rPr>
          <w:rFonts w:ascii="Arial" w:eastAsia="Times New Roman" w:hAnsi="Arial" w:cs="Arial"/>
          <w:sz w:val="24"/>
          <w:szCs w:val="24"/>
        </w:rPr>
        <w:t xml:space="preserve">These are but a few of the marks of a classical Baptist, as understood by one Baptist pastor. A classical Baptist </w:t>
      </w:r>
      <w:r w:rsidR="004C4F3F">
        <w:rPr>
          <w:rFonts w:ascii="Arial" w:eastAsia="Times New Roman" w:hAnsi="Arial" w:cs="Arial"/>
          <w:sz w:val="24"/>
          <w:szCs w:val="24"/>
        </w:rPr>
        <w:t>C</w:t>
      </w:r>
      <w:r w:rsidRPr="00620AC1">
        <w:rPr>
          <w:rFonts w:ascii="Arial" w:eastAsia="Times New Roman" w:hAnsi="Arial" w:cs="Arial"/>
          <w:sz w:val="24"/>
          <w:szCs w:val="24"/>
        </w:rPr>
        <w:t>hurch, therefore, agrees with these marks and seeks to exemplify them.</w:t>
      </w:r>
    </w:p>
    <w:sectPr w:rsidR="00B07A21" w:rsidRPr="00620AC1" w:rsidSect="00B07A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sbQwMDA1MjO1MDA0sLBQ0lEKTi0uzszPAykwqgUAOgq84ywAAAA="/>
  </w:docVars>
  <w:rsids>
    <w:rsidRoot w:val="00620AC1"/>
    <w:rsid w:val="002F30DA"/>
    <w:rsid w:val="004C4F3F"/>
    <w:rsid w:val="00620AC1"/>
    <w:rsid w:val="00756209"/>
    <w:rsid w:val="00B07A21"/>
    <w:rsid w:val="00B35428"/>
    <w:rsid w:val="00D35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A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header">
    <w:name w:val="pageheader"/>
    <w:basedOn w:val="Normal"/>
    <w:rsid w:val="00620A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0AC1"/>
    <w:rPr>
      <w:i/>
      <w:iCs/>
    </w:rPr>
  </w:style>
  <w:style w:type="paragraph" w:styleId="NormalWeb">
    <w:name w:val="Normal (Web)"/>
    <w:basedOn w:val="Normal"/>
    <w:uiPriority w:val="99"/>
    <w:semiHidden/>
    <w:unhideWhenUsed/>
    <w:rsid w:val="00620A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23337673">
      <w:bodyDiv w:val="1"/>
      <w:marLeft w:val="0"/>
      <w:marRight w:val="0"/>
      <w:marTop w:val="0"/>
      <w:marBottom w:val="0"/>
      <w:divBdr>
        <w:top w:val="none" w:sz="0" w:space="0" w:color="auto"/>
        <w:left w:val="none" w:sz="0" w:space="0" w:color="auto"/>
        <w:bottom w:val="none" w:sz="0" w:space="0" w:color="auto"/>
        <w:right w:val="none" w:sz="0" w:space="0" w:color="auto"/>
      </w:divBdr>
      <w:divsChild>
        <w:div w:id="2017687251">
          <w:marLeft w:val="133"/>
          <w:marRight w:val="0"/>
          <w:marTop w:val="133"/>
          <w:marBottom w:val="0"/>
          <w:divBdr>
            <w:top w:val="none" w:sz="0" w:space="0" w:color="auto"/>
            <w:left w:val="none" w:sz="0" w:space="0" w:color="auto"/>
            <w:bottom w:val="none" w:sz="0" w:space="0" w:color="auto"/>
            <w:right w:val="none" w:sz="0" w:space="0" w:color="auto"/>
          </w:divBdr>
        </w:div>
        <w:div w:id="442072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Waldrip</dc:creator>
  <cp:lastModifiedBy>John Waldrip</cp:lastModifiedBy>
  <cp:revision>4</cp:revision>
  <dcterms:created xsi:type="dcterms:W3CDTF">2017-09-13T18:22:00Z</dcterms:created>
  <dcterms:modified xsi:type="dcterms:W3CDTF">2018-01-24T23:46:00Z</dcterms:modified>
</cp:coreProperties>
</file>