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Conclusão</w:t>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contextualSpacing w:val="0"/>
        <w:jc w:val="both"/>
        <w:rPr/>
      </w:pPr>
      <w:r w:rsidDel="00000000" w:rsidR="00000000" w:rsidRPr="00000000">
        <w:rPr>
          <w:rtl w:val="0"/>
        </w:rPr>
        <w:t xml:space="preserve">O resultado final da construção do sistema foi satisfatório, pelo fato de ter sido aprovado pelo cliente e pelo usuário. A transformação do modelo B2C para o modelo B2B foi terminada e foi possível visualizar alguma mudanças significativas ao sistema que não oferecia e agora oferece, como: disponibilização de funcionalidades do sistema no modo de serviços, um chatbot pelo facebook para uma maior facilitador de comunicação com os usuários,  maior facilidade de integrar novas funcionalidade os sistema, maior facilidade de escalabilidade, melhoria de atendimento ao maior número de usuários e o desprendimento do back-end ao da interface. Ao final, a mudança trouxe muitos benefícios ao Linkest, porém ainda existem melhorias a serem feitas e ainda existem problemas a serem enfrentados, como: melhorar e automatizar a troca de instâncias do banco de dados pela API (utilizando código ou uma nova tecnologia), implementar uma interface do sistema em mobile, melhorar o sistema de login (criar o sistema de tokenização), fazer melhorias da utilização da ferramenta Docker, criar uma documentação ao sistema, melhorar testes existentes e construir novos.</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