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hd w:val="clear" w:color="auto" w:fill="1F3A5F"/>
      </w:pPr>
      <w:r>
        <w:rPr>
          <w:bCs/>
          <w:b/>
          <w:color w:val="FFFFFF"/>
          <w:sz w:val="28"/>
        </w:rPr>
        <w:t xml:space="preserve">SERVICE PAGE 2: BUSINESS TAX RETURN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t xml:space="preserve">Service name</w:t>
            </w:r>
          </w:p>
        </w:tc>
        <w:tc>
          <w:tcPr/>
          <w:p>
            <w:pPr>
              <w:pStyle w:val="Compact"/>
              <w:jc w:val="left"/>
            </w:pPr>
            <w:r>
              <w:t xml:space="preserve">Business Tax Return</w:t>
            </w:r>
          </w:p>
        </w:tc>
      </w:tr>
      <w:tr>
        <w:tc>
          <w:tcPr/>
          <w:p>
            <w:pPr>
              <w:pStyle w:val="Compact"/>
              <w:jc w:val="left"/>
            </w:pPr>
            <w:r>
              <w:t xml:space="preserve">Correct URL</w:t>
            </w:r>
          </w:p>
        </w:tc>
        <w:tc>
          <w:tcPr/>
          <w:p>
            <w:pPr>
              <w:pStyle w:val="Compact"/>
              <w:jc w:val="left"/>
            </w:pPr>
            <w:r>
              <w:t xml:space="preserve">https://bajwacpa.com/service/business-tax-return/</w:t>
            </w:r>
          </w:p>
        </w:tc>
      </w:tr>
      <w:tr>
        <w:tc>
          <w:tcPr/>
          <w:p>
            <w:pPr>
              <w:pStyle w:val="Compact"/>
              <w:jc w:val="left"/>
            </w:pPr>
            <w:r>
              <w:t xml:space="preserve">Old URL (301 redirect to correct URL)</w:t>
            </w:r>
          </w:p>
        </w:tc>
        <w:tc>
          <w:tcPr/>
          <w:p>
            <w:pPr>
              <w:pStyle w:val="Compact"/>
              <w:jc w:val="left"/>
            </w:pPr>
            <w:r>
              <w:t xml:space="preserve">https://bajwacpa.com/service/business-tax-return-2/</w:t>
            </w:r>
          </w:p>
        </w:tc>
      </w:tr>
      <w:tr>
        <w:tc>
          <w:tcPr/>
          <w:p>
            <w:pPr>
              <w:pStyle w:val="Compact"/>
              <w:jc w:val="left"/>
            </w:pPr>
            <w:r>
              <w:t xml:space="preserve">Meta title (46 characters)</w:t>
            </w:r>
          </w:p>
        </w:tc>
        <w:tc>
          <w:tcPr/>
          <w:p>
            <w:pPr>
              <w:pStyle w:val="Compact"/>
              <w:jc w:val="left"/>
            </w:pPr>
            <w:r>
              <w:t xml:space="preserve">Self-Employed Tax Returns Brampton | Bajwa CPA</w:t>
            </w:r>
          </w:p>
        </w:tc>
      </w:tr>
      <w:tr>
        <w:tc>
          <w:tcPr/>
          <w:p>
            <w:pPr>
              <w:pStyle w:val="Compact"/>
              <w:jc w:val="left"/>
            </w:pPr>
            <w:r>
              <w:t xml:space="preserve">Meta description (149 characters)</w:t>
            </w:r>
          </w:p>
        </w:tc>
        <w:tc>
          <w:tcPr/>
          <w:p>
            <w:pPr>
              <w:pStyle w:val="Compact"/>
              <w:jc w:val="left"/>
            </w:pPr>
            <w:r>
              <w:t xml:space="preserve">Self-employed in Brampton or Mississauga? Our CPAs file your T2125 and HST, claim every expense and quote a fixed fee up front. Book a free call now.</w:t>
            </w:r>
          </w:p>
        </w:tc>
      </w:tr>
      <w:tr>
        <w:tc>
          <w:tcPr/>
          <w:p>
            <w:pPr>
              <w:pStyle w:val="Compact"/>
              <w:jc w:val="left"/>
            </w:pPr>
            <w:r>
              <w:t xml:space="preserve">Focus keywords</w:t>
            </w:r>
          </w:p>
        </w:tc>
        <w:tc>
          <w:tcPr/>
          <w:p>
            <w:pPr>
              <w:pStyle w:val="Compact"/>
              <w:jc w:val="left"/>
            </w:pPr>
            <w:r>
              <w:t xml:space="preserve">business tax return Brampton, self-employed tax accountant Mississauga, sole proprietor tax return Ontario</w:t>
            </w:r>
          </w:p>
        </w:tc>
      </w:tr>
    </w:tbl>
    <w:p>
      <w:r>
        <w:pict>
          <v:rect style="width:0;height:1.5pt" o:hralign="center" o:hrstd="t" o:hr="t"/>
        </w:pict>
      </w:r>
    </w:p>
    <w:bookmarkStart w:id="49" w:name="Xf111353ae1c07c29593817c5de623395953ce56"/>
    <w:p>
      <w:pPr>
        <w:pStyle w:val="Heading1"/>
      </w:pPr>
      <w:r>
        <w:t xml:space="preserve">Business Tax Return Services for Sole Proprietors &amp; Partnerships in Brampton, Mississauga &amp; Ontario</w:t>
      </w:r>
    </w:p>
    <w:p>
      <w:pPr>
        <w:pStyle w:val="FirstParagraph"/>
      </w:pPr>
      <w:r>
        <w:t xml:space="preserve">We help you file your business tax returns for unincorporated businesses. If you are a sole proprietor, a partnership or a self-employed professional running a small business in Brampton, Mississauga or anywhere in the Greater Toronto Area, we provide affordable, professional monthly bookkeeping support, accounting services, HST return preparation and tax filing services. We can also guide you through registering or incorporating your business.</w:t>
      </w:r>
    </w:p>
    <w:p>
      <w:pPr>
        <w:pStyle w:val="BodyText"/>
      </w:pPr>
      <w:r>
        <w:t xml:space="preserve">Your return is prepared and reviewed by a licensed CPA. You get a fixed quote up front and support all year, so questions about expenses, HST or CRA letters never have to wait until tax season.</w:t>
      </w:r>
    </w:p>
    <w:bookmarkStart w:id="21" w:name="X6a217b0b7b72027f6779633e15b9c52b815a002"/>
    <w:p>
      <w:pPr>
        <w:pStyle w:val="Heading2"/>
      </w:pPr>
      <w:r>
        <w:t xml:space="preserve">Why Self-Employed Business Owners Choose a CPA</w:t>
      </w:r>
    </w:p>
    <w:p>
      <w:pPr>
        <w:pStyle w:val="FirstParagraph"/>
      </w:pPr>
      <w:r>
        <w:t xml:space="preserve">When you run an unincorporated business, your business income is reported on your personal T1 return using Form T2125. That means business decisions directly affect your personal tax bill. Claiming the wrong expenses, mixing personal and business costs or missing HST deadlines can lead to reassessments, penalties and interest.</w:t>
      </w:r>
    </w:p>
    <w:p>
      <w:pPr>
        <w:pStyle w:val="BodyText"/>
      </w:pPr>
      <w:r>
        <w:t xml:space="preserve">Self-employed individuals have until June 15 to file, but any balance owing is still due on April 30. Many business owners also need to make quarterly instalments. We keep track of these dates and help you plan ahead, so tax time is predictable instead of stressful.</w:t>
      </w:r>
    </w:p>
    <w:p>
      <w:pPr>
        <w:pStyle w:val="BlockText"/>
        <w:shd w:val="clear" w:color="auto" w:fill="E8F1FB"/>
      </w:pPr>
      <w:r>
        <w:rPr>
          <w:bCs/>
          <w:b/>
        </w:rPr>
        <w:t xml:space="preserve">[CTA BOX]</w:t>
      </w:r>
      <w:r>
        <w:t xml:space="preserve"> </w:t>
      </w:r>
      <w:r>
        <w:t xml:space="preserve">Not sure which expenses you can claim? A CPA will find every deduction you are owed.</w:t>
      </w:r>
    </w:p>
    <w:p>
      <w:pPr>
        <w:pStyle w:val="BlockText"/>
        <w:shd w:val="clear" w:color="auto" w:fill="E8F1FB"/>
      </w:pPr>
      <w:r>
        <w:t xml:space="preserve">Buttons:</w:t>
      </w:r>
      <w:r>
        <w:t xml:space="preserve"> </w:t>
      </w:r>
      <w:r>
        <w:rPr>
          <w:bCs/>
          <w:b/>
        </w:rPr>
        <w:t xml:space="preserve">Call 416-907-0568</w:t>
      </w:r>
      <w:r>
        <w:t xml:space="preserve"> </w:t>
      </w:r>
      <w:r>
        <w:t xml:space="preserve">|</w:t>
      </w:r>
      <w:r>
        <w:t xml:space="preserve"> </w:t>
      </w:r>
      <w:hyperlink r:id="rId20">
        <w:r>
          <w:rPr>
            <w:rStyle w:val="Hyperlink"/>
            <w:bCs/>
            <w:b/>
          </w:rPr>
          <w:t xml:space="preserve">Get My Fixed Quote</w:t>
        </w:r>
      </w:hyperlink>
    </w:p>
    <w:bookmarkEnd w:id="21"/>
    <w:bookmarkStart w:id="32" w:name="the-business-tax-services-we-offer"/>
    <w:p>
      <w:pPr>
        <w:pStyle w:val="Heading2"/>
      </w:pPr>
      <w:r>
        <w:t xml:space="preserve">The Business Tax Services We Offer</w:t>
      </w:r>
    </w:p>
    <w:bookmarkStart w:id="22" w:name="X7a5de2aa6b99b1d994165260e88e2ed9207b711"/>
    <w:p>
      <w:pPr>
        <w:pStyle w:val="Heading3"/>
      </w:pPr>
      <w:r>
        <w:t xml:space="preserve">Statement of Business or Professional Activities (T2125)</w:t>
      </w:r>
    </w:p>
    <w:p>
      <w:pPr>
        <w:pStyle w:val="FirstParagraph"/>
      </w:pPr>
      <w:r>
        <w:t xml:space="preserve">The Statement of Business or Professional Activities is the form self-employed individuals use to report business income and expenses. We prepare it carefully, claiming every eligible expense, including home office, vehicle, phone, supplies and capital cost allowance on equipment.</w:t>
      </w:r>
    </w:p>
    <w:bookmarkEnd w:id="22"/>
    <w:bookmarkStart w:id="23" w:name="hst-returns-preparation-and-filing"/>
    <w:p>
      <w:pPr>
        <w:pStyle w:val="Heading3"/>
      </w:pPr>
      <w:r>
        <w:t xml:space="preserve">HST Returns Preparation and Filing</w:t>
      </w:r>
    </w:p>
    <w:p>
      <w:pPr>
        <w:pStyle w:val="FirstParagraph"/>
      </w:pPr>
      <w:r>
        <w:t xml:space="preserve">We help you prepare and file your HST return before the due date to avoid penalties and interest. In general, you must register for HST once your taxable revenue goes over $30,000 in four consecutive calendar quarters. We can register you, choose the right filing frequency and explain whether the Quick Method could save you money.</w:t>
      </w:r>
    </w:p>
    <w:bookmarkEnd w:id="23"/>
    <w:bookmarkStart w:id="24" w:name="payroll-services-for-your-employees"/>
    <w:p>
      <w:pPr>
        <w:pStyle w:val="Heading3"/>
      </w:pPr>
      <w:r>
        <w:t xml:space="preserve">Payroll Services for Your Employees</w:t>
      </w:r>
    </w:p>
    <w:p>
      <w:pPr>
        <w:pStyle w:val="FirstParagraph"/>
      </w:pPr>
      <w:r>
        <w:t xml:space="preserve">Every business has its own payroll needs. We take the time to understand your business and manage your payroll, tax forms, source deduction remittances, T4 slips and reports.</w:t>
      </w:r>
    </w:p>
    <w:bookmarkEnd w:id="24"/>
    <w:bookmarkStart w:id="27" w:name="Xf81fe4f1b49d6b793817a91cb3080918e870a9f"/>
    <w:p>
      <w:pPr>
        <w:pStyle w:val="Heading3"/>
      </w:pPr>
      <w:r>
        <w:t xml:space="preserve">Bookkeeping, General Ledgers &amp; Financial Statement Preparation</w:t>
      </w:r>
    </w:p>
    <w:p>
      <w:pPr>
        <w:pStyle w:val="FirstParagraph"/>
      </w:pPr>
      <w:r>
        <w:t xml:space="preserve">Let us handle your bookkeeping and financial statements so you can focus on running your business. Organised monthly books make your year-end return faster and more accurate. See our</w:t>
      </w:r>
      <w:r>
        <w:t xml:space="preserve"> </w:t>
      </w:r>
      <w:hyperlink r:id="rId25">
        <w:r>
          <w:rPr>
            <w:rStyle w:val="Hyperlink"/>
          </w:rPr>
          <w:t xml:space="preserve">monthly bookkeeping packages</w:t>
        </w:r>
      </w:hyperlink>
      <w:r>
        <w:t xml:space="preserve"> </w:t>
      </w:r>
      <w:r>
        <w:t xml:space="preserve">and</w:t>
      </w:r>
      <w:r>
        <w:t xml:space="preserve"> </w:t>
      </w:r>
      <w:hyperlink r:id="rId26">
        <w:r>
          <w:rPr>
            <w:rStyle w:val="Hyperlink"/>
          </w:rPr>
          <w:t xml:space="preserve">financial statement services</w:t>
        </w:r>
      </w:hyperlink>
      <w:r>
        <w:t xml:space="preserve">.</w:t>
      </w:r>
    </w:p>
    <w:bookmarkEnd w:id="27"/>
    <w:bookmarkStart w:id="29" w:name="business-tax-planning"/>
    <w:p>
      <w:pPr>
        <w:pStyle w:val="Heading3"/>
      </w:pPr>
      <w:r>
        <w:t xml:space="preserve">Business Tax Planning</w:t>
      </w:r>
    </w:p>
    <w:p>
      <w:pPr>
        <w:pStyle w:val="FirstParagraph"/>
      </w:pPr>
      <w:r>
        <w:t xml:space="preserve">We help you prepare for the upcoming tax year so your business operates at its best. This includes instalment planning, timing of large purchases, RRSP contributions and deciding when it makes sense to incorporate. Learn more on our</w:t>
      </w:r>
      <w:r>
        <w:t xml:space="preserve"> </w:t>
      </w:r>
      <w:hyperlink r:id="rId28">
        <w:r>
          <w:rPr>
            <w:rStyle w:val="Hyperlink"/>
          </w:rPr>
          <w:t xml:space="preserve">tax planning</w:t>
        </w:r>
      </w:hyperlink>
      <w:r>
        <w:t xml:space="preserve"> </w:t>
      </w:r>
      <w:r>
        <w:t xml:space="preserve">page.</w:t>
      </w:r>
    </w:p>
    <w:bookmarkEnd w:id="29"/>
    <w:bookmarkStart w:id="31" w:name="business-registration-and-incorporation"/>
    <w:p>
      <w:pPr>
        <w:pStyle w:val="Heading3"/>
      </w:pPr>
      <w:r>
        <w:t xml:space="preserve">Business Registration and Incorporation</w:t>
      </w:r>
    </w:p>
    <w:p>
      <w:pPr>
        <w:pStyle w:val="FirstParagraph"/>
      </w:pPr>
      <w:r>
        <w:t xml:space="preserve">Starting out, or ready to grow? We can register your sole proprietorship or partnership in Ontario, or help you move to a corporation when the tax savings justify it. Visit our</w:t>
      </w:r>
      <w:r>
        <w:t xml:space="preserve"> </w:t>
      </w:r>
      <w:hyperlink r:id="rId30">
        <w:r>
          <w:rPr>
            <w:rStyle w:val="Hyperlink"/>
          </w:rPr>
          <w:t xml:space="preserve">incorporation and business registration</w:t>
        </w:r>
      </w:hyperlink>
      <w:r>
        <w:t xml:space="preserve"> </w:t>
      </w:r>
      <w:r>
        <w:t xml:space="preserve">page for details.</w:t>
      </w:r>
    </w:p>
    <w:p>
      <w:pPr>
        <w:pStyle w:val="BlockText"/>
        <w:shd w:val="clear" w:color="auto" w:fill="E8F1FB"/>
      </w:pPr>
      <w:r>
        <w:rPr>
          <w:bCs/>
          <w:b/>
        </w:rPr>
        <w:t xml:space="preserve">[CTA BOX]</w:t>
      </w:r>
      <w:r>
        <w:t xml:space="preserve"> </w:t>
      </w:r>
      <w:r>
        <w:t xml:space="preserve">T2125, HST, payroll and bookkeeping, all handled by one local team.</w:t>
      </w:r>
    </w:p>
    <w:p>
      <w:pPr>
        <w:pStyle w:val="BlockText"/>
        <w:shd w:val="clear" w:color="auto" w:fill="E8F1FB"/>
      </w:pPr>
      <w:r>
        <w:t xml:space="preserve">Buttons:</w:t>
      </w:r>
      <w:r>
        <w:t xml:space="preserve"> </w:t>
      </w:r>
      <w:hyperlink r:id="rId20">
        <w:r>
          <w:rPr>
            <w:rStyle w:val="Hyperlink"/>
            <w:bCs/>
            <w:b/>
          </w:rPr>
          <w:t xml:space="preserve">Book a Free Consultation</w:t>
        </w:r>
      </w:hyperlink>
      <w:r>
        <w:t xml:space="preserve"> </w:t>
      </w:r>
      <w:r>
        <w:t xml:space="preserve">|</w:t>
      </w:r>
      <w:r>
        <w:t xml:space="preserve"> </w:t>
      </w:r>
      <w:r>
        <w:rPr>
          <w:bCs/>
          <w:b/>
        </w:rPr>
        <w:t xml:space="preserve">Call 416-907-0568</w:t>
      </w:r>
    </w:p>
    <w:bookmarkEnd w:id="31"/>
    <w:bookmarkEnd w:id="32"/>
    <w:bookmarkStart w:id="34" w:name="who-we-help"/>
    <w:p>
      <w:pPr>
        <w:pStyle w:val="Heading2"/>
      </w:pPr>
      <w:r>
        <w:t xml:space="preserve">Who We Help</w:t>
      </w:r>
    </w:p>
    <w:p>
      <w:pPr>
        <w:pStyle w:val="FirstParagraph"/>
      </w:pPr>
      <w:r>
        <w:t xml:space="preserve">We work with self-employed people and small businesses across many industries, including:</w:t>
      </w:r>
    </w:p>
    <w:p>
      <w:pPr>
        <w:numPr>
          <w:ilvl w:val="0"/>
          <w:numId w:val="1001"/>
        </w:numPr>
        <w:pStyle w:val="Compact"/>
      </w:pPr>
      <w:r>
        <w:t xml:space="preserve">Consultants and independent contractors</w:t>
      </w:r>
    </w:p>
    <w:p>
      <w:pPr>
        <w:numPr>
          <w:ilvl w:val="0"/>
          <w:numId w:val="1001"/>
        </w:numPr>
        <w:pStyle w:val="Compact"/>
      </w:pPr>
      <w:r>
        <w:t xml:space="preserve">Real estate agents and brokerages</w:t>
      </w:r>
    </w:p>
    <w:p>
      <w:pPr>
        <w:numPr>
          <w:ilvl w:val="0"/>
          <w:numId w:val="1001"/>
        </w:numPr>
        <w:pStyle w:val="Compact"/>
      </w:pPr>
      <w:r>
        <w:t xml:space="preserve">Construction and trades</w:t>
      </w:r>
    </w:p>
    <w:p>
      <w:pPr>
        <w:numPr>
          <w:ilvl w:val="0"/>
          <w:numId w:val="1001"/>
        </w:numPr>
        <w:pStyle w:val="Compact"/>
      </w:pPr>
      <w:r>
        <w:t xml:space="preserve">Retail businesses</w:t>
      </w:r>
    </w:p>
    <w:p>
      <w:pPr>
        <w:numPr>
          <w:ilvl w:val="0"/>
          <w:numId w:val="1001"/>
        </w:numPr>
        <w:pStyle w:val="Compact"/>
      </w:pPr>
      <w:r>
        <w:t xml:space="preserve">Travel agencies</w:t>
      </w:r>
    </w:p>
    <w:p>
      <w:pPr>
        <w:numPr>
          <w:ilvl w:val="0"/>
          <w:numId w:val="1001"/>
        </w:numPr>
        <w:pStyle w:val="Compact"/>
      </w:pPr>
      <w:r>
        <w:t xml:space="preserve">Food and entertainment businesses</w:t>
      </w:r>
    </w:p>
    <w:p>
      <w:pPr>
        <w:numPr>
          <w:ilvl w:val="0"/>
          <w:numId w:val="1001"/>
        </w:numPr>
        <w:pStyle w:val="Compact"/>
      </w:pPr>
      <w:r>
        <w:t xml:space="preserve">Automotive businesses</w:t>
      </w:r>
    </w:p>
    <w:p>
      <w:pPr>
        <w:numPr>
          <w:ilvl w:val="0"/>
          <w:numId w:val="1001"/>
        </w:numPr>
        <w:pStyle w:val="Compact"/>
      </w:pPr>
      <w:r>
        <w:t xml:space="preserve">Financial services professionals</w:t>
      </w:r>
    </w:p>
    <w:p>
      <w:pPr>
        <w:numPr>
          <w:ilvl w:val="0"/>
          <w:numId w:val="1001"/>
        </w:numPr>
        <w:pStyle w:val="Compact"/>
      </w:pPr>
      <w:r>
        <w:t xml:space="preserve">Franchise owners</w:t>
      </w:r>
    </w:p>
    <w:p>
      <w:pPr>
        <w:numPr>
          <w:ilvl w:val="0"/>
          <w:numId w:val="1001"/>
        </w:numPr>
        <w:pStyle w:val="Compact"/>
      </w:pPr>
      <w:r>
        <w:t xml:space="preserve">Startups and new small businesses</w:t>
      </w:r>
    </w:p>
    <w:p>
      <w:pPr>
        <w:pStyle w:val="FirstParagraph"/>
      </w:pPr>
      <w:r>
        <w:t xml:space="preserve">If you earn rental income alongside your business, our</w:t>
      </w:r>
      <w:r>
        <w:t xml:space="preserve"> </w:t>
      </w:r>
      <w:hyperlink r:id="rId33">
        <w:r>
          <w:rPr>
            <w:rStyle w:val="Hyperlink"/>
          </w:rPr>
          <w:t xml:space="preserve">real estate tax return services</w:t>
        </w:r>
      </w:hyperlink>
      <w:r>
        <w:t xml:space="preserve"> </w:t>
      </w:r>
      <w:r>
        <w:t xml:space="preserve">can cover your property reporting in the same file.</w:t>
      </w:r>
    </w:p>
    <w:bookmarkEnd w:id="34"/>
    <w:bookmarkStart w:id="36" w:name="Xc1489ba082744b3b7beac0fe2fbac2eb1003387"/>
    <w:p>
      <w:pPr>
        <w:pStyle w:val="Heading2"/>
      </w:pPr>
      <w:r>
        <w:t xml:space="preserve">Should You Stay a Sole Proprietor or Incorporate?</w:t>
      </w:r>
    </w:p>
    <w:p>
      <w:pPr>
        <w:pStyle w:val="FirstParagraph"/>
      </w:pPr>
      <w:r>
        <w:t xml:space="preserve">This is one of the most common questions we get from business owners in Brampton and Mississauga. A sole proprietorship is simple and inexpensive to run. A corporation can offer lower tax rates on profits you leave in the business, along with limited liability, but it comes with extra filing and accounting costs.</w:t>
      </w:r>
    </w:p>
    <w:p>
      <w:pPr>
        <w:pStyle w:val="BodyText"/>
      </w:pPr>
      <w:r>
        <w:t xml:space="preserve">We review your income, expenses and goals and show you the numbers side by side. If incorporating makes sense, we can handle the setup and later prepare your</w:t>
      </w:r>
      <w:r>
        <w:t xml:space="preserve"> </w:t>
      </w:r>
      <w:hyperlink r:id="rId35">
        <w:r>
          <w:rPr>
            <w:rStyle w:val="Hyperlink"/>
          </w:rPr>
          <w:t xml:space="preserve">corporate tax return</w:t>
        </w:r>
      </w:hyperlink>
      <w:r>
        <w:t xml:space="preserve">.</w:t>
      </w:r>
    </w:p>
    <w:p>
      <w:pPr>
        <w:pStyle w:val="BlockText"/>
        <w:shd w:val="clear" w:color="auto" w:fill="E8F1FB"/>
      </w:pPr>
      <w:r>
        <w:rPr>
          <w:bCs/>
          <w:b/>
        </w:rPr>
        <w:t xml:space="preserve">[CTA BOX]</w:t>
      </w:r>
      <w:r>
        <w:t xml:space="preserve"> </w:t>
      </w:r>
      <w:r>
        <w:t xml:space="preserve">Should you incorporate this year? Get a side-by-side tax comparison from our CPA.</w:t>
      </w:r>
    </w:p>
    <w:p>
      <w:pPr>
        <w:pStyle w:val="BlockText"/>
        <w:shd w:val="clear" w:color="auto" w:fill="E8F1FB"/>
      </w:pPr>
      <w:r>
        <w:t xml:space="preserve">Buttons:</w:t>
      </w:r>
      <w:r>
        <w:t xml:space="preserve"> </w:t>
      </w:r>
      <w:hyperlink r:id="rId20">
        <w:r>
          <w:rPr>
            <w:rStyle w:val="Hyperlink"/>
            <w:bCs/>
            <w:b/>
          </w:rPr>
          <w:t xml:space="preserve">Ask a CPA</w:t>
        </w:r>
      </w:hyperlink>
      <w:r>
        <w:t xml:space="preserve"> </w:t>
      </w:r>
      <w:r>
        <w:t xml:space="preserve">|</w:t>
      </w:r>
      <w:r>
        <w:t xml:space="preserve"> </w:t>
      </w:r>
      <w:r>
        <w:rPr>
          <w:bCs/>
          <w:b/>
        </w:rPr>
        <w:t xml:space="preserve">Call 416-907-0568</w:t>
      </w:r>
    </w:p>
    <w:bookmarkEnd w:id="36"/>
    <w:bookmarkStart w:id="38" w:name="our-simple-process"/>
    <w:p>
      <w:pPr>
        <w:pStyle w:val="Heading2"/>
      </w:pPr>
      <w:r>
        <w:t xml:space="preserve">Our Simple Process</w:t>
      </w:r>
    </w:p>
    <w:p>
      <w:pPr>
        <w:numPr>
          <w:ilvl w:val="0"/>
          <w:numId w:val="1002"/>
        </w:numPr>
        <w:pStyle w:val="Compact"/>
      </w:pPr>
      <w:r>
        <w:rPr>
          <w:bCs/>
          <w:b/>
        </w:rPr>
        <w:t xml:space="preserve">Free consultation</w:t>
      </w:r>
      <w:r>
        <w:t xml:space="preserve"> </w:t>
      </w:r>
      <w:r>
        <w:t xml:space="preserve">to understand your business and any open CRA matters.</w:t>
      </w:r>
    </w:p>
    <w:p>
      <w:pPr>
        <w:numPr>
          <w:ilvl w:val="0"/>
          <w:numId w:val="1002"/>
        </w:numPr>
        <w:pStyle w:val="Compact"/>
      </w:pPr>
      <w:r>
        <w:rPr>
          <w:bCs/>
          <w:b/>
        </w:rPr>
        <w:t xml:space="preserve">Fixed quote</w:t>
      </w:r>
      <w:r>
        <w:t xml:space="preserve"> </w:t>
      </w:r>
      <w:r>
        <w:t xml:space="preserve">before we begin, so you know the cost up front.</w:t>
      </w:r>
    </w:p>
    <w:p>
      <w:pPr>
        <w:numPr>
          <w:ilvl w:val="0"/>
          <w:numId w:val="1002"/>
        </w:numPr>
        <w:pStyle w:val="Compact"/>
      </w:pPr>
      <w:r>
        <w:rPr>
          <w:bCs/>
          <w:b/>
        </w:rPr>
        <w:t xml:space="preserve">Document checklist</w:t>
      </w:r>
      <w:r>
        <w:t xml:space="preserve"> </w:t>
      </w:r>
      <w:r>
        <w:t xml:space="preserve">so you know exactly what to send. See our</w:t>
      </w:r>
      <w:r>
        <w:t xml:space="preserve"> </w:t>
      </w:r>
      <w:hyperlink r:id="rId37">
        <w:r>
          <w:rPr>
            <w:rStyle w:val="Hyperlink"/>
          </w:rPr>
          <w:t xml:space="preserve">tax checklists</w:t>
        </w:r>
      </w:hyperlink>
      <w:r>
        <w:t xml:space="preserve">.</w:t>
      </w:r>
    </w:p>
    <w:p>
      <w:pPr>
        <w:numPr>
          <w:ilvl w:val="0"/>
          <w:numId w:val="1002"/>
        </w:numPr>
        <w:pStyle w:val="Compact"/>
      </w:pPr>
      <w:r>
        <w:rPr>
          <w:bCs/>
          <w:b/>
        </w:rPr>
        <w:t xml:space="preserve">Preparation and CPA review</w:t>
      </w:r>
      <w:r>
        <w:t xml:space="preserve"> </w:t>
      </w:r>
      <w:r>
        <w:t xml:space="preserve">of your T2125, T1 and HST returns.</w:t>
      </w:r>
    </w:p>
    <w:p>
      <w:pPr>
        <w:numPr>
          <w:ilvl w:val="0"/>
          <w:numId w:val="1002"/>
        </w:numPr>
        <w:pStyle w:val="Compact"/>
      </w:pPr>
      <w:r>
        <w:rPr>
          <w:bCs/>
          <w:b/>
        </w:rPr>
        <w:t xml:space="preserve">E-filing with CRA</w:t>
      </w:r>
      <w:r>
        <w:t xml:space="preserve"> </w:t>
      </w:r>
      <w:r>
        <w:t xml:space="preserve">and a clear summary of what you owe or will receive.</w:t>
      </w:r>
    </w:p>
    <w:p>
      <w:pPr>
        <w:numPr>
          <w:ilvl w:val="0"/>
          <w:numId w:val="1002"/>
        </w:numPr>
        <w:pStyle w:val="Compact"/>
      </w:pPr>
      <w:r>
        <w:rPr>
          <w:bCs/>
          <w:b/>
        </w:rPr>
        <w:t xml:space="preserve">Year-round support</w:t>
      </w:r>
      <w:r>
        <w:t xml:space="preserve"> </w:t>
      </w:r>
      <w:r>
        <w:t xml:space="preserve">for CRA letters, instalments and planning.</w:t>
      </w:r>
    </w:p>
    <w:bookmarkEnd w:id="38"/>
    <w:bookmarkStart w:id="39" w:name="Xcd65a301868f85f4a6b24c4199bedad4164a9d3"/>
    <w:p>
      <w:pPr>
        <w:pStyle w:val="Heading2"/>
      </w:pPr>
      <w:r>
        <w:t xml:space="preserve">Serving Small Businesses Across the GTA and Ontario</w:t>
      </w:r>
    </w:p>
    <w:p>
      <w:pPr>
        <w:pStyle w:val="FirstParagraph"/>
      </w:pPr>
      <w:r>
        <w:t xml:space="preserve">Our office is in Brampton at 2 County Court Blvd, Suite 400, close to Mississauga, Caledon, Bolton, Georgetown and Milton. We also serve self-employed clients in Toronto, Etobicoke, Vaughan, Oakville and across Ontario, with secure online document sharing for clients who prefer not to visit in person.</w:t>
      </w:r>
    </w:p>
    <w:bookmarkEnd w:id="39"/>
    <w:bookmarkStart w:id="41" w:name="tailored-to-your-small-business"/>
    <w:p>
      <w:pPr>
        <w:pStyle w:val="Heading2"/>
      </w:pPr>
      <w:r>
        <w:t xml:space="preserve">Tailored to Your Small Business</w:t>
      </w:r>
    </w:p>
    <w:p>
      <w:pPr>
        <w:pStyle w:val="FirstParagraph"/>
      </w:pPr>
      <w:r>
        <w:t xml:space="preserve">At Bajwa CPA, we take the time to learn about and understand each client’s business to make sure we truly meet their needs and provide outstanding professional service. Our goal is to deliver our services in an easy-to-understand manner that is both timely and reliable. Because your business income flows onto your</w:t>
      </w:r>
      <w:r>
        <w:t xml:space="preserve"> </w:t>
      </w:r>
      <w:hyperlink r:id="rId40">
        <w:r>
          <w:rPr>
            <w:rStyle w:val="Hyperlink"/>
          </w:rPr>
          <w:t xml:space="preserve">personal tax return</w:t>
        </w:r>
      </w:hyperlink>
      <w:r>
        <w:t xml:space="preserve">, we look at the whole picture, not just one form.</w:t>
      </w:r>
    </w:p>
    <w:bookmarkEnd w:id="41"/>
    <w:bookmarkStart w:id="47" w:name="frequently-asked-questions"/>
    <w:p>
      <w:pPr>
        <w:pStyle w:val="Heading2"/>
      </w:pPr>
      <w:r>
        <w:t xml:space="preserve">Frequently Asked Questions</w:t>
      </w:r>
    </w:p>
    <w:bookmarkStart w:id="42" w:name="X122cbc210f1e1611e3997e9997adc8ddb84e105"/>
    <w:p>
      <w:pPr>
        <w:pStyle w:val="Heading3"/>
      </w:pPr>
      <w:r>
        <w:t xml:space="preserve">When is the deadline for a self-employed tax return?</w:t>
      </w:r>
    </w:p>
    <w:p>
      <w:pPr>
        <w:pStyle w:val="FirstParagraph"/>
      </w:pPr>
      <w:r>
        <w:t xml:space="preserve">Self-employed individuals must file by June 15. Any balance owing is due by April 30, and interest starts after that date.</w:t>
      </w:r>
    </w:p>
    <w:bookmarkEnd w:id="42"/>
    <w:bookmarkStart w:id="43" w:name="what-business-expenses-can-i-claim"/>
    <w:p>
      <w:pPr>
        <w:pStyle w:val="Heading3"/>
      </w:pPr>
      <w:r>
        <w:t xml:space="preserve">What business expenses can I claim?</w:t>
      </w:r>
    </w:p>
    <w:p>
      <w:pPr>
        <w:pStyle w:val="FirstParagraph"/>
      </w:pPr>
      <w:r>
        <w:t xml:space="preserve">Common expenses include advertising, supplies, rent, a portion of home office costs, vehicle expenses, phone and internet, professional fees and capital cost allowance on equipment. We confirm what applies to your business.</w:t>
      </w:r>
    </w:p>
    <w:bookmarkEnd w:id="43"/>
    <w:bookmarkStart w:id="44" w:name="do-i-need-to-register-for-hst"/>
    <w:p>
      <w:pPr>
        <w:pStyle w:val="Heading3"/>
      </w:pPr>
      <w:r>
        <w:t xml:space="preserve">Do I need to register for HST?</w:t>
      </w:r>
    </w:p>
    <w:p>
      <w:pPr>
        <w:pStyle w:val="FirstParagraph"/>
      </w:pPr>
      <w:r>
        <w:t xml:space="preserve">Generally, yes, once your taxable revenue goes over $30,000 in four consecutive calendar quarters. Some businesses register earlier by choice to claim input tax credits.</w:t>
      </w:r>
    </w:p>
    <w:bookmarkEnd w:id="44"/>
    <w:bookmarkStart w:id="45" w:name="X4c101c2101fa3b1d0a331474dd521440930c0b7"/>
    <w:p>
      <w:pPr>
        <w:pStyle w:val="Heading3"/>
      </w:pPr>
      <w:r>
        <w:t xml:space="preserve">Can you help if I have not filed for a few years?</w:t>
      </w:r>
    </w:p>
    <w:p>
      <w:pPr>
        <w:pStyle w:val="FirstParagraph"/>
      </w:pPr>
      <w:r>
        <w:t xml:space="preserve">Yes. We can prepare and file past-due returns and help you deal with CRA to reduce penalties and interest where possible.</w:t>
      </w:r>
    </w:p>
    <w:bookmarkEnd w:id="45"/>
    <w:bookmarkStart w:id="46" w:name="how-much-does-a-business-tax-return-cost"/>
    <w:p>
      <w:pPr>
        <w:pStyle w:val="Heading3"/>
      </w:pPr>
      <w:r>
        <w:t xml:space="preserve">How much does a business tax return cost?</w:t>
      </w:r>
    </w:p>
    <w:p>
      <w:pPr>
        <w:pStyle w:val="FirstParagraph"/>
      </w:pPr>
      <w:r>
        <w:t xml:space="preserve">It depends on your number of transactions and how organised your records are. You get a fixed quote after a free consultation.</w:t>
      </w:r>
    </w:p>
    <w:bookmarkEnd w:id="46"/>
    <w:bookmarkEnd w:id="47"/>
    <w:bookmarkStart w:id="48" w:name="book-your-consultation"/>
    <w:p>
      <w:pPr>
        <w:pStyle w:val="Heading2"/>
      </w:pPr>
      <w:r>
        <w:t xml:space="preserve">Book Your Consultation</w:t>
      </w:r>
    </w:p>
    <w:p>
      <w:pPr>
        <w:pStyle w:val="FirstParagraph"/>
      </w:pPr>
      <w:r>
        <w:t xml:space="preserve">Need a self-employed tax accountant in Brampton or Mississauga? Call</w:t>
      </w:r>
      <w:r>
        <w:t xml:space="preserve"> </w:t>
      </w:r>
      <w:r>
        <w:rPr>
          <w:bCs/>
          <w:b/>
        </w:rPr>
        <w:t xml:space="preserve">416-907-0568</w:t>
      </w:r>
      <w:r>
        <w:t xml:space="preserve"> </w:t>
      </w:r>
      <w:r>
        <w:t xml:space="preserve">or</w:t>
      </w:r>
      <w:r>
        <w:t xml:space="preserve"> </w:t>
      </w:r>
      <w:hyperlink r:id="rId20">
        <w:r>
          <w:rPr>
            <w:rStyle w:val="Hyperlink"/>
          </w:rPr>
          <w:t xml:space="preserve">contact us today</w:t>
        </w:r>
      </w:hyperlink>
      <w:r>
        <w:t xml:space="preserve"> </w:t>
      </w:r>
      <w:r>
        <w:t xml:space="preserve">to book a consultation and get a fixed quote for your business tax return.</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2"/>
    </w:rPr>
  </w:style>
  <w:style w:styleId="BodyText" w:type="paragraph">
    <w:name w:val="Body Text"/>
    <w:basedOn w:val="Normal"/>
    <w:link w:val="BodyTextChar"/>
    <w:pPr>
      <w:spacing w:after="180" w:before="180"/>
    </w:pPr>
    <w:qFormat/>
    <w:rPr>
      <w:rFonts w:ascii="Arial" w:hAnsi="Arial" w:eastAsia="Arial"/>
      <w:sz w:val="22"/>
    </w:rPr>
  </w:style>
  <w:style w:customStyle="1" w:styleId="FirstParagraph" w:type="paragraph">
    <w:name w:val="First Paragraph"/>
    <w:basedOn w:val="BodyText"/>
    <w:next w:val="BodyText"/>
    <w:qFormat/>
    <w:rPr>
      <w:rFonts w:ascii="Arial" w:hAnsi="Arial" w:eastAsia="Arial"/>
      <w:sz w:val="22"/>
    </w:rPr>
  </w:style>
  <w:style w:customStyle="1" w:styleId="Compact" w:type="paragraph">
    <w:name w:val="Compact"/>
    <w:basedOn w:val="BodyText"/>
    <w:qFormat/>
    <w:pPr>
      <w:spacing w:after="36" w:before="36"/>
    </w:pPr>
    <w:rPr>
      <w:rFonts w:ascii="Arial" w:hAnsi="Arial" w:eastAsia="Arial"/>
    </w:rPr>
  </w:style>
  <w:style w:styleId="Title" w:type="paragraph">
    <w:name w:val="Title"/>
    <w:basedOn w:val="Normal"/>
    <w:next w:val="BodyText"/>
    <w:qFormat/>
    <w:pPr>
      <w:keepNext/>
      <w:keepLines/>
      <w:spacing w:after="240" w:before="480"/>
      <w:jc w:val="center"/>
    </w:pPr>
    <w:rPr>
      <w:rFonts w:ascii="Arial" w:hAnsi="Arial" w:eastAsia="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Arial" w:hAnsi="Arial" w:eastAsia="Arial"/>
      <w:sz w:val="30"/>
      <w:szCs w:val="30"/>
    </w:rPr>
  </w:style>
  <w:style w:customStyle="1" w:styleId="Author" w:type="paragraph">
    <w:name w:val="Author"/>
    <w:next w:val="BodyText"/>
    <w:qFormat/>
    <w:pPr>
      <w:keepNext/>
      <w:keepLines/>
      <w:jc w:val="center"/>
    </w:pPr>
    <w:rPr>
      <w:rFonts w:ascii="Arial" w:hAnsi="Arial" w:eastAsia="Arial"/>
    </w:rPr>
  </w:style>
  <w:style w:styleId="Date" w:type="paragraph">
    <w:name w:val="Date"/>
    <w:next w:val="BodyText"/>
    <w:qFormat/>
    <w:pPr>
      <w:keepNext/>
      <w:keepLines/>
      <w:jc w:val="center"/>
    </w:pPr>
    <w:rPr>
      <w:rFonts w:ascii="Arial" w:hAnsi="Arial" w:eastAsia="Arial"/>
    </w:rPr>
  </w:style>
  <w:style w:customStyle="1" w:styleId="AbstractTitle" w:type="paragraph">
    <w:name w:val="Abstract Title"/>
    <w:basedOn w:val="Normal"/>
    <w:next w:val="Abstract"/>
    <w:qFormat/>
    <w:pPr>
      <w:keepNext/>
      <w:keepLines/>
      <w:jc w:val="center"/>
      <w:spacing w:after="0" w:before="300"/>
    </w:pPr>
    <w:rPr>
      <w:sz w:val="20"/>
      <w:szCs w:val="20"/>
      <w:rFonts w:ascii="Arial" w:hAnsi="Arial" w:eastAsia="Arial"/>
      <w:b/>
      <w:color w:val="345A8A"/>
      &gt;
    </w:rPr>
  </w:style>
  <w:style w:customStyle="1" w:styleId="Abstract" w:type="paragraph">
    <w:name w:val="Abstract"/>
    <w:basedOn w:val="Normal"/>
    <w:next w:val="BodyText"/>
    <w:qFormat/>
    <w:pPr>
      <w:keepNext/>
      <w:keepLines/>
      <w:spacing w:after="300" w:before="100"/>
    </w:pPr>
    <w:rPr>
      <w:rFonts w:ascii="Arial" w:hAnsi="Arial" w:eastAsia="Arial"/>
      <w:sz w:val="20"/>
      <w:szCs w:val="20"/>
    </w:rPr>
  </w:style>
  <w:style w:styleId="Bibliography" w:type="paragraph">
    <w:name w:val="Bibliography"/>
    <w:basedOn w:val="Normal"/>
    <w:next w:val="Bibliography"/>
    <w:qFormat/>
    <w:pPr/>
    <w:rPr>
      <w:rFonts w:ascii="Arial" w:hAnsi="Arial" w:eastAsia="Arial"/>
    </w:rPr>
  </w:style>
  <w:style w:styleId="Heading1" w:type="paragraph">
    <w:name w:val="Heading 1"/>
    <w:basedOn w:val="Normal"/>
    <w:next w:val="BodyText"/>
    <w:uiPriority w:val="9"/>
    <w:qFormat/>
    <w:pPr>
      <w:keepNext/>
      <w:keepLines/>
      <w:spacing w:after="0" w:before="480"/>
      <w:outlineLvl w:val="0"/>
    </w:pPr>
    <w:rPr>
      <w:rFonts w:ascii="Arial" w:hAnsi="Arial" w:eastAsia="Arial"/>
      <w:b/>
      <w:bCs/>
      <w:color w:val="1F3A5F"/>
      <w:sz w:val="40"/>
      <w:szCs w:val="32"/>
    </w:rPr>
  </w:style>
  <w:style w:styleId="Heading2" w:type="paragraph">
    <w:name w:val="Heading 2"/>
    <w:basedOn w:val="Normal"/>
    <w:next w:val="BodyText"/>
    <w:uiPriority w:val="9"/>
    <w:unhideWhenUsed/>
    <w:qFormat/>
    <w:pPr>
      <w:keepNext/>
      <w:keepLines/>
      <w:spacing w:after="0" w:before="200"/>
      <w:outlineLvl w:val="1"/>
    </w:pPr>
    <w:rPr>
      <w:rFonts w:ascii="Arial" w:hAnsi="Arial" w:eastAsia="Arial"/>
      <w:b/>
      <w:bCs/>
      <w:color w:val="1F3A5F"/>
      <w:sz w:val="30"/>
      <w:szCs w:val="28"/>
    </w:rPr>
  </w:style>
  <w:style w:styleId="Heading3" w:type="paragraph">
    <w:name w:val="Heading 3"/>
    <w:basedOn w:val="Normal"/>
    <w:next w:val="BodyText"/>
    <w:uiPriority w:val="9"/>
    <w:unhideWhenUsed/>
    <w:qFormat/>
    <w:pPr>
      <w:keepNext/>
      <w:keepLines/>
      <w:spacing w:after="0" w:before="200"/>
      <w:outlineLvl w:val="2"/>
    </w:pPr>
    <w:rPr>
      <w:rFonts w:ascii="Arial" w:hAnsi="Arial" w:eastAsia="Arial"/>
      <w:b/>
      <w:bCs/>
      <w:color w:val="1F3A5F"/>
      <w:sz w:val="25"/>
      <w:szCs w:val="24"/>
    </w:rPr>
  </w:style>
  <w:style w:styleId="Heading4" w:type="paragraph">
    <w:name w:val="Heading 4"/>
    <w:basedOn w:val="Normal"/>
    <w:next w:val="BodyText"/>
    <w:uiPriority w:val="9"/>
    <w:unhideWhenUsed/>
    <w:qFormat/>
    <w:pPr>
      <w:keepNext/>
      <w:keepLines/>
      <w:spacing w:after="0" w:before="200"/>
      <w:outlineLvl w:val="3"/>
    </w:pPr>
    <w:rPr>
      <w:rFonts w:ascii="Arial" w:hAnsi="Arial" w:eastAsia="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hAnsi="Arial" w:eastAsia="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hAnsi="Arial" w:eastAsia="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hAnsi="Arial" w:eastAsia="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hAnsi="Arial" w:eastAsia="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hAnsi="Arial" w:eastAsia="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eastAsia="Arial"/>
    </w:rPr>
  </w:style>
  <w:style w:styleId="FootnoteText" w:type="paragraph">
    <w:name w:val="Footnote Text"/>
    <w:basedOn w:val="Normal"/>
    <w:next w:val="FootnoteText"/>
    <w:uiPriority w:val="9"/>
    <w:unhideWhenUsed/>
    <w:qFormat/>
    <w:rPr>
      <w:rFonts w:ascii="Arial" w:hAnsi="Arial" w:eastAsia="Arial"/>
    </w:rPr>
  </w:style>
  <w:style w:default="1" w:styleId="DefaultParagraphFont" w:type="character">
    <w:name w:val="Default Paragraph Font"/>
    <w:semiHidden/>
    <w:unhideWhenUsed/>
    <w:rPr>
      <w:rFonts w:ascii="Arial" w:hAnsi="Arial" w:eastAsia="Arial"/>
    </w:rPr>
  </w:style>
  <w:style w:default="1" w:styleId="Table" w:type="table">
    <w:name w:val="Table"/>
    <w:basedOn w:val="TableNormal"/>
    <w:semiHidden/>
    <w:unhideWhenUsed/>
    <w:qFormat/>
    <w:rPr>
      <w:rFonts w:ascii="Arial" w:hAnsi="Arial" w:eastAsia="Arial"/>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hAnsi="Arial" w:eastAsia="Arial"/>
      <w:b/>
    </w:rPr>
  </w:style>
  <w:style w:customStyle="1" w:styleId="Definition" w:type="paragraph">
    <w:name w:val="Definition"/>
    <w:basedOn w:val="Normal"/>
    <w:rPr>
      <w:rFonts w:ascii="Arial" w:hAnsi="Arial" w:eastAsia="Arial"/>
    </w:rPr>
  </w:style>
  <w:style w:styleId="Caption" w:type="paragraph">
    <w:name w:val="Caption"/>
    <w:basedOn w:val="Normal"/>
    <w:link w:val="BodyTextChar"/>
    <w:pPr>
      <w:spacing w:after="120" w:before="0"/>
    </w:pPr>
    <w:rPr>
      <w:rFonts w:ascii="Arial" w:hAnsi="Arial" w:eastAsia="Arial"/>
      <w:i/>
    </w:rPr>
  </w:style>
  <w:style w:customStyle="1" w:styleId="TableCaption" w:type="paragraph">
    <w:name w:val="Table Caption"/>
    <w:basedOn w:val="Caption"/>
    <w:pPr>
      <w:keepNext/>
    </w:pPr>
    <w:rPr>
      <w:rFonts w:ascii="Arial" w:hAnsi="Arial" w:eastAsia="Arial"/>
    </w:rPr>
  </w:style>
  <w:style w:customStyle="1" w:styleId="ImageCaption" w:type="paragraph">
    <w:name w:val="Image Caption"/>
    <w:basedOn w:val="Caption"/>
    <w:rPr>
      <w:rFonts w:ascii="Arial" w:hAnsi="Arial" w:eastAsia="Arial"/>
    </w:rPr>
  </w:style>
  <w:style w:customStyle="1" w:styleId="Figure" w:type="paragraph">
    <w:name w:val="Figure"/>
    <w:basedOn w:val="Normal"/>
    <w:rPr>
      <w:rFonts w:ascii="Arial" w:hAnsi="Arial" w:eastAsia="Arial"/>
    </w:rPr>
  </w:style>
  <w:style w:customStyle="1" w:styleId="CaptionedFigure" w:type="paragraph">
    <w:name w:val="Captioned Figure"/>
    <w:basedOn w:val="Figure"/>
    <w:pPr>
      <w:keepNext/>
    </w:pPr>
    <w:rPr>
      <w:rFonts w:ascii="Arial" w:hAnsi="Arial" w:eastAsia="Arial"/>
    </w:rPr>
  </w:style>
  <w:style w:customStyle="1" w:styleId="BodyTextChar" w:type="character">
    <w:name w:val="Body Text Char"/>
    <w:basedOn w:val="DefaultParagraphFont"/>
    <w:link w:val="BodyText"/>
    <w:rPr>
      <w:rFonts w:ascii="Arial" w:hAnsi="Arial" w:eastAsia="Arial"/>
    </w:rPr>
  </w:style>
  <w:style w:customStyle="1" w:styleId="VerbatimChar" w:type="character">
    <w:name w:val="Verbatim Char"/>
    <w:basedOn w:val="BodyTextChar"/>
    <w:rPr>
      <w:rFonts w:ascii="Arial" w:hAnsi="Arial" w:eastAsia="Arial"/>
      <w:sz w:val="22"/>
    </w:rPr>
  </w:style>
  <w:style w:customStyle="1" w:styleId="SectionNumber" w:type="character">
    <w:name w:val="Section Number"/>
    <w:basedOn w:val="BodyTextChar"/>
    <w:rPr>
      <w:rFonts w:ascii="Arial" w:hAnsi="Arial" w:eastAsia="Arial"/>
    </w:rPr>
  </w:style>
  <w:style w:styleId="FootnoteReference" w:type="character">
    <w:name w:val="Footnote Reference"/>
    <w:basedOn w:val="BodyTextChar"/>
    <w:rPr>
      <w:rFonts w:ascii="Arial" w:hAnsi="Arial" w:eastAsia="Arial"/>
      <w:vertAlign w:val="superscript"/>
    </w:rPr>
  </w:style>
  <w:style w:styleId="Hyperlink" w:type="character">
    <w:name w:val="Hyperlink"/>
    <w:basedOn w:val="BodyTextChar"/>
    <w:rPr>
      <w:rFonts w:ascii="Arial" w:hAnsi="Arial" w:eastAsia="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hAnsi="Arial" w:eastAsia="Arial"/>
      <w:b w:val="0"/>
      <w:bCs w:val="0"/>
      <w:color w:themeColor="accent1" w:themeShade="BF" w:val="365F91"/>
    </w:rPr>
  </w:style>
  <w:style w:type="paragraph" w:customStyle="1" w:styleId="SourceCode">
    <w:name w:val="Source Code"/>
    <w:basedOn w:val="Normal"/>
    <w:link w:val="VerbatimChar"/>
    <w:pPr>
      <w:wordWrap w:val="off"/>
    </w:pPr>
    <w:rPr>
      <w:rFonts w:ascii="Arial" w:hAnsi="Arial" w:eastAsia="Arial"/>
    </w:rPr>
  </w:style>
  <w:style w:type="character" w:customStyle="1" w:styleId="KeywordTok">
    <w:name w:val="KeywordTok"/>
    <w:basedOn w:val="VerbatimChar"/>
    <w:rPr>
      <w:color w:val="007020"/>
      <w:rFonts w:ascii="Arial" w:hAnsi="Arial" w:eastAsia="Arial"/>
      <w:b/>
    </w:rPr>
  </w:style>
  <w:style w:type="character" w:customStyle="1" w:styleId="DataTypeTok">
    <w:name w:val="DataTypeTok"/>
    <w:basedOn w:val="VerbatimChar"/>
    <w:rPr>
      <w:rFonts w:ascii="Arial" w:hAnsi="Arial" w:eastAsia="Arial"/>
      <w:color w:val="902000"/>
    </w:rPr>
  </w:style>
  <w:style w:type="character" w:customStyle="1" w:styleId="DecValTok">
    <w:name w:val="DecValTok"/>
    <w:basedOn w:val="VerbatimChar"/>
    <w:rPr>
      <w:rFonts w:ascii="Arial" w:hAnsi="Arial" w:eastAsia="Arial"/>
      <w:color w:val="40a070"/>
    </w:rPr>
  </w:style>
  <w:style w:type="character" w:customStyle="1" w:styleId="BaseNTok">
    <w:name w:val="BaseNTok"/>
    <w:basedOn w:val="VerbatimChar"/>
    <w:rPr>
      <w:rFonts w:ascii="Arial" w:hAnsi="Arial" w:eastAsia="Arial"/>
      <w:color w:val="40a070"/>
    </w:rPr>
  </w:style>
  <w:style w:type="character" w:customStyle="1" w:styleId="FloatTok">
    <w:name w:val="FloatTok"/>
    <w:basedOn w:val="VerbatimChar"/>
    <w:rPr>
      <w:rFonts w:ascii="Arial" w:hAnsi="Arial" w:eastAsia="Arial"/>
      <w:color w:val="40a070"/>
    </w:rPr>
  </w:style>
  <w:style w:type="character" w:customStyle="1" w:styleId="ConstantTok">
    <w:name w:val="ConstantTok"/>
    <w:basedOn w:val="VerbatimChar"/>
    <w:rPr>
      <w:rFonts w:ascii="Arial" w:hAnsi="Arial" w:eastAsia="Arial"/>
      <w:color w:val="880000"/>
    </w:rPr>
  </w:style>
  <w:style w:type="character" w:customStyle="1" w:styleId="CharTok">
    <w:name w:val="CharTok"/>
    <w:basedOn w:val="VerbatimChar"/>
    <w:rPr>
      <w:rFonts w:ascii="Arial" w:hAnsi="Arial" w:eastAsia="Arial"/>
      <w:color w:val="4070a0"/>
    </w:rPr>
  </w:style>
  <w:style w:type="character" w:customStyle="1" w:styleId="SpecialCharTok">
    <w:name w:val="SpecialCharTok"/>
    <w:basedOn w:val="VerbatimChar"/>
    <w:rPr>
      <w:rFonts w:ascii="Arial" w:hAnsi="Arial" w:eastAsia="Arial"/>
      <w:color w:val="4070a0"/>
    </w:rPr>
  </w:style>
  <w:style w:type="character" w:customStyle="1" w:styleId="StringTok">
    <w:name w:val="StringTok"/>
    <w:basedOn w:val="VerbatimChar"/>
    <w:rPr>
      <w:rFonts w:ascii="Arial" w:hAnsi="Arial" w:eastAsia="Arial"/>
      <w:color w:val="4070a0"/>
    </w:rPr>
  </w:style>
  <w:style w:type="character" w:customStyle="1" w:styleId="VerbatimStringTok">
    <w:name w:val="VerbatimStringTok"/>
    <w:basedOn w:val="VerbatimChar"/>
    <w:rPr>
      <w:rFonts w:ascii="Arial" w:hAnsi="Arial" w:eastAsia="Arial"/>
      <w:color w:val="4070a0"/>
    </w:rPr>
  </w:style>
  <w:style w:type="character" w:customStyle="1" w:styleId="SpecialStringTok">
    <w:name w:val="SpecialStringTok"/>
    <w:basedOn w:val="VerbatimChar"/>
    <w:rPr>
      <w:rFonts w:ascii="Arial" w:hAnsi="Arial" w:eastAsia="Arial"/>
      <w:color w:val="bb6688"/>
    </w:rPr>
  </w:style>
  <w:style w:type="character" w:customStyle="1" w:styleId="ImportTok">
    <w:name w:val="ImportTok"/>
    <w:basedOn w:val="VerbatimChar"/>
    <w:rPr>
      <w:color w:val="008000"/>
      <w:rFonts w:ascii="Arial" w:hAnsi="Arial" w:eastAsia="Arial"/>
      <w:b/>
    </w:rPr>
  </w:style>
  <w:style w:type="character" w:customStyle="1" w:styleId="CommentTok">
    <w:name w:val="CommentTok"/>
    <w:basedOn w:val="VerbatimChar"/>
    <w:rPr>
      <w:color w:val="60a0b0"/>
      <w:rFonts w:ascii="Arial" w:hAnsi="Arial" w:eastAsia="Arial"/>
      <w:i/>
    </w:rPr>
  </w:style>
  <w:style w:type="character" w:customStyle="1" w:styleId="DocumentationTok">
    <w:name w:val="DocumentationTok"/>
    <w:basedOn w:val="VerbatimChar"/>
    <w:rPr>
      <w:color w:val="ba2121"/>
      <w:rFonts w:ascii="Arial" w:hAnsi="Arial" w:eastAsia="Arial"/>
      <w:i/>
    </w:rPr>
  </w:style>
  <w:style w:type="character" w:customStyle="1" w:styleId="AnnotationTok">
    <w:name w:val="AnnotationTok"/>
    <w:basedOn w:val="VerbatimChar"/>
    <w:rPr>
      <w:color w:val="60a0b0"/>
      <w:rFonts w:ascii="Arial" w:hAnsi="Arial" w:eastAsia="Arial"/>
      <w:b/>
      <w:i/>
    </w:rPr>
  </w:style>
  <w:style w:type="character" w:customStyle="1" w:styleId="CommentVarTok">
    <w:name w:val="CommentVarTok"/>
    <w:basedOn w:val="VerbatimChar"/>
    <w:rPr>
      <w:color w:val="60a0b0"/>
      <w:rFonts w:ascii="Arial" w:hAnsi="Arial" w:eastAsia="Arial"/>
      <w:b/>
      <w:i/>
    </w:rPr>
  </w:style>
  <w:style w:type="character" w:customStyle="1" w:styleId="OtherTok">
    <w:name w:val="OtherTok"/>
    <w:basedOn w:val="VerbatimChar"/>
    <w:rPr>
      <w:rFonts w:ascii="Arial" w:hAnsi="Arial" w:eastAsia="Arial"/>
      <w:color w:val="007020"/>
    </w:rPr>
  </w:style>
  <w:style w:type="character" w:customStyle="1" w:styleId="FunctionTok">
    <w:name w:val="FunctionTok"/>
    <w:basedOn w:val="VerbatimChar"/>
    <w:rPr>
      <w:rFonts w:ascii="Arial" w:hAnsi="Arial" w:eastAsia="Arial"/>
      <w:color w:val="06287e"/>
    </w:rPr>
  </w:style>
  <w:style w:type="character" w:customStyle="1" w:styleId="VariableTok">
    <w:name w:val="VariableTok"/>
    <w:basedOn w:val="VerbatimChar"/>
    <w:rPr>
      <w:rFonts w:ascii="Arial" w:hAnsi="Arial" w:eastAsia="Arial"/>
      <w:color w:val="19177c"/>
    </w:rPr>
  </w:style>
  <w:style w:type="character" w:customStyle="1" w:styleId="ControlFlowTok">
    <w:name w:val="ControlFlowTok"/>
    <w:basedOn w:val="VerbatimChar"/>
    <w:rPr>
      <w:color w:val="007020"/>
      <w:rFonts w:ascii="Arial" w:hAnsi="Arial" w:eastAsia="Arial"/>
      <w:b/>
    </w:rPr>
  </w:style>
  <w:style w:type="character" w:customStyle="1" w:styleId="OperatorTok">
    <w:name w:val="OperatorTok"/>
    <w:basedOn w:val="VerbatimChar"/>
    <w:rPr>
      <w:rFonts w:ascii="Arial" w:hAnsi="Arial" w:eastAsia="Arial"/>
      <w:color w:val="666666"/>
    </w:rPr>
  </w:style>
  <w:style w:type="character" w:customStyle="1" w:styleId="BuiltInTok">
    <w:name w:val="BuiltInTok"/>
    <w:basedOn w:val="VerbatimChar"/>
    <w:rPr>
      <w:rFonts w:ascii="Arial" w:hAnsi="Arial" w:eastAsia="Arial"/>
      <w:color w:val="008000"/>
    </w:rPr>
  </w:style>
  <w:style w:type="character" w:customStyle="1" w:styleId="ExtensionTok">
    <w:name w:val="ExtensionTok"/>
    <w:basedOn w:val="VerbatimChar"/>
    <w:rPr>
      <w:rFonts w:ascii="Arial" w:hAnsi="Arial" w:eastAsia="Arial"/>
    </w:rPr>
  </w:style>
  <w:style w:type="character" w:customStyle="1" w:styleId="PreprocessorTok">
    <w:name w:val="PreprocessorTok"/>
    <w:basedOn w:val="VerbatimChar"/>
    <w:rPr>
      <w:rFonts w:ascii="Arial" w:hAnsi="Arial" w:eastAsia="Arial"/>
      <w:color w:val="bc7a00"/>
    </w:rPr>
  </w:style>
  <w:style w:type="character" w:customStyle="1" w:styleId="AttributeTok">
    <w:name w:val="AttributeTok"/>
    <w:basedOn w:val="VerbatimChar"/>
    <w:rPr>
      <w:rFonts w:ascii="Arial" w:hAnsi="Arial" w:eastAsia="Arial"/>
      <w:color w:val="7d9029"/>
    </w:rPr>
  </w:style>
  <w:style w:type="character" w:customStyle="1" w:styleId="RegionMarkerTok">
    <w:name w:val="RegionMarkerTok"/>
    <w:basedOn w:val="VerbatimChar"/>
    <w:rPr>
      <w:rFonts w:ascii="Arial" w:hAnsi="Arial" w:eastAsia="Arial"/>
    </w:rPr>
  </w:style>
  <w:style w:type="character" w:customStyle="1" w:styleId="InformationTok">
    <w:name w:val="InformationTok"/>
    <w:basedOn w:val="VerbatimChar"/>
    <w:rPr>
      <w:color w:val="60a0b0"/>
      <w:rFonts w:ascii="Arial" w:hAnsi="Arial" w:eastAsia="Arial"/>
      <w:b/>
      <w:i/>
    </w:rPr>
  </w:style>
  <w:style w:type="character" w:customStyle="1" w:styleId="WarningTok">
    <w:name w:val="WarningTok"/>
    <w:basedOn w:val="VerbatimChar"/>
    <w:rPr>
      <w:color w:val="60a0b0"/>
      <w:rFonts w:ascii="Arial" w:hAnsi="Arial" w:eastAsia="Arial"/>
      <w:b/>
      <w:i/>
    </w:rPr>
  </w:style>
  <w:style w:type="character" w:customStyle="1" w:styleId="AlertTok">
    <w:name w:val="AlertTok"/>
    <w:basedOn w:val="VerbatimChar"/>
    <w:rPr>
      <w:color w:val="ff0000"/>
      <w:rFonts w:ascii="Arial" w:hAnsi="Arial" w:eastAsia="Arial"/>
      <w:b/>
    </w:rPr>
  </w:style>
  <w:style w:type="character" w:customStyle="1" w:styleId="ErrorTok">
    <w:name w:val="ErrorTok"/>
    <w:basedOn w:val="VerbatimChar"/>
    <w:rPr>
      <w:color w:val="ff0000"/>
      <w:rFonts w:ascii="Arial" w:hAnsi="Arial" w:eastAsia="Arial"/>
      <w:b/>
    </w:rPr>
  </w:style>
  <w:style w:type="character" w:customStyle="1" w:styleId="NormalTok">
    <w:name w:val="NormalTok"/>
    <w:basedOn w:val="VerbatimChar"/>
    <w:rPr>
      <w:rFonts w:ascii="Arial" w:hAnsi="Arial" w:eastAsia="Arial"/>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bajwacpa.com/contact/" TargetMode="External"/><Relationship Id="rId25" Type="http://schemas.openxmlformats.org/officeDocument/2006/relationships/hyperlink" Target="https://bajwacpa.com/service/bookkeeping/" TargetMode="External"/><Relationship Id="rId35" Type="http://schemas.openxmlformats.org/officeDocument/2006/relationships/hyperlink" Target="https://bajwacpa.com/service/corporate-tax-return/" TargetMode="External"/><Relationship Id="rId26" Type="http://schemas.openxmlformats.org/officeDocument/2006/relationships/hyperlink" Target="https://bajwacpa.com/service/financial-statements/" TargetMode="External"/><Relationship Id="rId30" Type="http://schemas.openxmlformats.org/officeDocument/2006/relationships/hyperlink" Target="https://bajwacpa.com/service/incorporation-business-registration/" TargetMode="External"/><Relationship Id="rId40" Type="http://schemas.openxmlformats.org/officeDocument/2006/relationships/hyperlink" Target="https://bajwacpa.com/service/personal-tax-return/" TargetMode="External"/><Relationship Id="rId33" Type="http://schemas.openxmlformats.org/officeDocument/2006/relationships/hyperlink" Target="https://bajwacpa.com/service/real-estate-tax-returns/" TargetMode="External"/><Relationship Id="rId28" Type="http://schemas.openxmlformats.org/officeDocument/2006/relationships/hyperlink" Target="https://bajwacpa.com/service/tax-planning/" TargetMode="External"/><Relationship Id="rId37" Type="http://schemas.openxmlformats.org/officeDocument/2006/relationships/hyperlink" Target="https://bajwacpa.com/tax-checklists/"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bajwacpa.com/contact/" TargetMode="External"/><Relationship Id="rId25" Type="http://schemas.openxmlformats.org/officeDocument/2006/relationships/hyperlink" Target="https://bajwacpa.com/service/bookkeeping/" TargetMode="External"/><Relationship Id="rId35" Type="http://schemas.openxmlformats.org/officeDocument/2006/relationships/hyperlink" Target="https://bajwacpa.com/service/corporate-tax-return/" TargetMode="External"/><Relationship Id="rId26" Type="http://schemas.openxmlformats.org/officeDocument/2006/relationships/hyperlink" Target="https://bajwacpa.com/service/financial-statements/" TargetMode="External"/><Relationship Id="rId30" Type="http://schemas.openxmlformats.org/officeDocument/2006/relationships/hyperlink" Target="https://bajwacpa.com/service/incorporation-business-registration/" TargetMode="External"/><Relationship Id="rId40" Type="http://schemas.openxmlformats.org/officeDocument/2006/relationships/hyperlink" Target="https://bajwacpa.com/service/personal-tax-return/" TargetMode="External"/><Relationship Id="rId33" Type="http://schemas.openxmlformats.org/officeDocument/2006/relationships/hyperlink" Target="https://bajwacpa.com/service/real-estate-tax-returns/" TargetMode="External"/><Relationship Id="rId28" Type="http://schemas.openxmlformats.org/officeDocument/2006/relationships/hyperlink" Target="https://bajwacpa.com/service/tax-planning/" TargetMode="External"/><Relationship Id="rId37" Type="http://schemas.openxmlformats.org/officeDocument/2006/relationships/hyperlink" Target="https://bajwacpa.com/tax-checkli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2026-10-05T07:31:01Z</dcterms:created>
  <dcterms:modified xsi:type="dcterms:W3CDTF">2026-10-05T07:31:01Z</dcterms:modified>
</cp:coreProperties>
</file>

<file path=docProps/custom.xml><?xml version="1.0" encoding="utf-8"?>
<Properties xmlns="http://schemas.openxmlformats.org/officeDocument/2006/custom-properties" xmlns:vt="http://schemas.openxmlformats.org/officeDocument/2006/docPropsVTypes"/>
</file>