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hd w:val="clear" w:color="auto" w:fill="1F3A5F"/>
      </w:pPr>
      <w:r>
        <w:rPr>
          <w:bCs/>
          <w:b/>
          <w:color w:val="FFFFFF"/>
          <w:sz w:val="28"/>
        </w:rPr>
        <w:t xml:space="preserve">SERVICE PAGE 7: FINANCIAL STATEMENTS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Service name</w:t>
            </w:r>
          </w:p>
        </w:tc>
        <w:tc>
          <w:tcPr/>
          <w:p>
            <w:pPr>
              <w:pStyle w:val="Compact"/>
              <w:jc w:val="left"/>
            </w:pPr>
            <w:r>
              <w:t xml:space="preserve">Financial Statements</w:t>
            </w:r>
          </w:p>
        </w:tc>
      </w:tr>
      <w:tr>
        <w:tc>
          <w:tcPr/>
          <w:p>
            <w:pPr>
              <w:pStyle w:val="Compact"/>
              <w:jc w:val="left"/>
            </w:pPr>
            <w:r>
              <w:t xml:space="preserve">Correct URL</w:t>
            </w:r>
          </w:p>
        </w:tc>
        <w:tc>
          <w:tcPr/>
          <w:p>
            <w:pPr>
              <w:pStyle w:val="Compact"/>
              <w:jc w:val="left"/>
            </w:pPr>
            <w:r>
              <w:t xml:space="preserve">https://bajwacpa.com/service/financial-statements/</w:t>
            </w:r>
          </w:p>
        </w:tc>
      </w:tr>
      <w:tr>
        <w:tc>
          <w:tcPr/>
          <w:p>
            <w:pPr>
              <w:pStyle w:val="Compact"/>
              <w:jc w:val="left"/>
            </w:pPr>
            <w:r>
              <w:t xml:space="preserve">Old URL (301 redirect to correct URL)</w:t>
            </w:r>
          </w:p>
        </w:tc>
        <w:tc>
          <w:tcPr/>
          <w:p>
            <w:pPr>
              <w:pStyle w:val="Compact"/>
              <w:jc w:val="left"/>
            </w:pPr>
            <w:r>
              <w:t xml:space="preserve">https://bajwacpa.com/service/financial-statements-2/</w:t>
            </w:r>
          </w:p>
        </w:tc>
      </w:tr>
      <w:tr>
        <w:tc>
          <w:tcPr/>
          <w:p>
            <w:pPr>
              <w:pStyle w:val="Compact"/>
              <w:jc w:val="left"/>
            </w:pPr>
            <w:r>
              <w:t xml:space="preserve">Meta title (48 characters)</w:t>
            </w:r>
          </w:p>
        </w:tc>
        <w:tc>
          <w:tcPr/>
          <w:p>
            <w:pPr>
              <w:pStyle w:val="Compact"/>
              <w:jc w:val="left"/>
            </w:pPr>
            <w:r>
              <w:t xml:space="preserve">Financial Statements Brampton | CPA Compilations</w:t>
            </w:r>
          </w:p>
        </w:tc>
      </w:tr>
      <w:tr>
        <w:tc>
          <w:tcPr/>
          <w:p>
            <w:pPr>
              <w:pStyle w:val="Compact"/>
              <w:jc w:val="left"/>
            </w:pPr>
            <w:r>
              <w:t xml:space="preserve">Meta description (146 characters)</w:t>
            </w:r>
          </w:p>
        </w:tc>
        <w:tc>
          <w:tcPr/>
          <w:p>
            <w:pPr>
              <w:pStyle w:val="Compact"/>
              <w:jc w:val="left"/>
            </w:pPr>
            <w:r>
              <w:t xml:space="preserve">Compiled financial statements for banks, lenders and CRA from a Brampton &amp; Mississauga CPA. Accurate, on-time year-end statements. Book a consult.</w:t>
            </w:r>
          </w:p>
        </w:tc>
      </w:tr>
      <w:tr>
        <w:tc>
          <w:tcPr/>
          <w:p>
            <w:pPr>
              <w:pStyle w:val="Compact"/>
              <w:jc w:val="left"/>
            </w:pPr>
            <w:r>
              <w:t xml:space="preserve">Focus keywords</w:t>
            </w:r>
          </w:p>
        </w:tc>
        <w:tc>
          <w:tcPr/>
          <w:p>
            <w:pPr>
              <w:pStyle w:val="Compact"/>
              <w:jc w:val="left"/>
            </w:pPr>
            <w:r>
              <w:t xml:space="preserve">financial statements Brampton, compilation engagement Mississauga, notice to reader accountant Ontario</w:t>
            </w:r>
          </w:p>
        </w:tc>
      </w:tr>
    </w:tbl>
    <w:p>
      <w:r>
        <w:pict>
          <v:rect style="width:0;height:1.5pt" o:hralign="center" o:hrstd="t" o:hr="t"/>
        </w:pict>
      </w:r>
    </w:p>
    <w:bookmarkStart w:id="46" w:name="X27a007ed558691fa5b9d6987e063763c0954be1"/>
    <w:p>
      <w:pPr>
        <w:pStyle w:val="Heading1"/>
      </w:pPr>
      <w:r>
        <w:t xml:space="preserve">Financial Statement Preparation Services in Brampton, Mississauga &amp; Across Ontario</w:t>
      </w:r>
    </w:p>
    <w:p>
      <w:pPr>
        <w:pStyle w:val="FirstParagraph"/>
      </w:pPr>
      <w:r>
        <w:t xml:space="preserve">Accurate financial statements are vital for corporations and businesses, because many people rely on them. Banks, lenders, investors, and the federal and provincial governments all use the financial information prepared for your business. At Bajwa CPA Professional Corporation, we prepare clear, accurate year-end financial statements for businesses in Brampton, Mississauga and across the Greater Toronto Area.</w:t>
      </w:r>
    </w:p>
    <w:p>
      <w:pPr>
        <w:pStyle w:val="BodyText"/>
      </w:pPr>
      <w:r>
        <w:t xml:space="preserve">Every set of statements is prepared and reviewed by a licensed CPA, priced with a fixed quote, and supported all year so you understand what your numbers mean.</w:t>
      </w:r>
    </w:p>
    <w:bookmarkStart w:id="22" w:name="why-accurate-financial-statements-matter"/>
    <w:p>
      <w:pPr>
        <w:pStyle w:val="Heading2"/>
      </w:pPr>
      <w:r>
        <w:t xml:space="preserve">Why Accurate Financial Statements Matter</w:t>
      </w:r>
    </w:p>
    <w:p>
      <w:pPr>
        <w:pStyle w:val="FirstParagraph"/>
      </w:pPr>
      <w:r>
        <w:t xml:space="preserve">It is extremely important that financial statements are prepared following sound accounting principles. Well-prepared statements help you:</w:t>
      </w:r>
    </w:p>
    <w:p>
      <w:pPr>
        <w:numPr>
          <w:ilvl w:val="0"/>
          <w:numId w:val="1001"/>
        </w:numPr>
        <w:pStyle w:val="Compact"/>
      </w:pPr>
      <w:r>
        <w:t xml:space="preserve">File accurate</w:t>
      </w:r>
      <w:r>
        <w:t xml:space="preserve"> </w:t>
      </w:r>
      <w:hyperlink r:id="rId20">
        <w:r>
          <w:rPr>
            <w:rStyle w:val="Hyperlink"/>
          </w:rPr>
          <w:t xml:space="preserve">corporate tax returns</w:t>
        </w:r>
      </w:hyperlink>
      <w:r>
        <w:t xml:space="preserve"> </w:t>
      </w:r>
      <w:r>
        <w:t xml:space="preserve">and business tax returns</w:t>
      </w:r>
    </w:p>
    <w:p>
      <w:pPr>
        <w:numPr>
          <w:ilvl w:val="0"/>
          <w:numId w:val="1001"/>
        </w:numPr>
        <w:pStyle w:val="Compact"/>
      </w:pPr>
      <w:r>
        <w:t xml:space="preserve">Meet bank or lender restrictive covenants</w:t>
      </w:r>
    </w:p>
    <w:p>
      <w:pPr>
        <w:numPr>
          <w:ilvl w:val="0"/>
          <w:numId w:val="1001"/>
        </w:numPr>
        <w:pStyle w:val="Compact"/>
      </w:pPr>
      <w:r>
        <w:t xml:space="preserve">Apply for external financing</w:t>
      </w:r>
    </w:p>
    <w:p>
      <w:pPr>
        <w:numPr>
          <w:ilvl w:val="0"/>
          <w:numId w:val="1001"/>
        </w:numPr>
        <w:pStyle w:val="Compact"/>
      </w:pPr>
      <w:r>
        <w:t xml:space="preserve">Prepare government filings, such as payroll, on time</w:t>
      </w:r>
    </w:p>
    <w:p>
      <w:pPr>
        <w:numPr>
          <w:ilvl w:val="0"/>
          <w:numId w:val="1001"/>
        </w:numPr>
        <w:pStyle w:val="Compact"/>
      </w:pPr>
      <w:r>
        <w:t xml:space="preserve">Prepare HST and tax returns</w:t>
      </w:r>
    </w:p>
    <w:p>
      <w:pPr>
        <w:numPr>
          <w:ilvl w:val="0"/>
          <w:numId w:val="1001"/>
        </w:numPr>
        <w:pStyle w:val="Compact"/>
      </w:pPr>
      <w:r>
        <w:t xml:space="preserve">Build budgets, forecasts and projections for your company</w:t>
      </w:r>
    </w:p>
    <w:p>
      <w:pPr>
        <w:pStyle w:val="FirstParagraph"/>
      </w:pPr>
      <w:r>
        <w:t xml:space="preserve">Our tax and accounting firm makes sure your financial statements are accurate and classified in line with Canadian accounting standards.</w:t>
      </w:r>
    </w:p>
    <w:p>
      <w:pPr>
        <w:pStyle w:val="BlockText"/>
        <w:shd w:val="clear" w:color="auto" w:fill="E8F1FB"/>
      </w:pPr>
      <w:r>
        <w:rPr>
          <w:bCs/>
          <w:b/>
        </w:rPr>
        <w:t xml:space="preserve">[CTA BOX]</w:t>
      </w:r>
      <w:r>
        <w:t xml:space="preserve"> </w:t>
      </w:r>
      <w:r>
        <w:t xml:space="preserve">Need statements for your bank, lender or year end? Get them prepared by a CPA.</w:t>
      </w:r>
    </w:p>
    <w:p>
      <w:pPr>
        <w:pStyle w:val="BlockText"/>
        <w:shd w:val="clear" w:color="auto" w:fill="E8F1FB"/>
      </w:pPr>
      <w:r>
        <w:t xml:space="preserve">Buttons:</w:t>
      </w:r>
      <w:r>
        <w:t xml:space="preserve"> </w:t>
      </w:r>
      <w:r>
        <w:rPr>
          <w:bCs/>
          <w:b/>
        </w:rPr>
        <w:t xml:space="preserve">Call 416-907-0568</w:t>
      </w:r>
      <w:r>
        <w:t xml:space="preserve"> </w:t>
      </w:r>
      <w:r>
        <w:t xml:space="preserve">|</w:t>
      </w:r>
      <w:r>
        <w:t xml:space="preserve"> </w:t>
      </w:r>
      <w:hyperlink r:id="rId21">
        <w:r>
          <w:rPr>
            <w:rStyle w:val="Hyperlink"/>
            <w:bCs/>
            <w:b/>
          </w:rPr>
          <w:t xml:space="preserve">Get My Fixed Quote</w:t>
        </w:r>
      </w:hyperlink>
    </w:p>
    <w:bookmarkEnd w:id="22"/>
    <w:bookmarkStart w:id="27" w:name="X35122bb5702883dfd35f4398c7514c4fec798de"/>
    <w:p>
      <w:pPr>
        <w:pStyle w:val="Heading2"/>
      </w:pPr>
      <w:r>
        <w:t xml:space="preserve">Preparation of Annual Financial Statements</w:t>
      </w:r>
    </w:p>
    <w:p>
      <w:pPr>
        <w:pStyle w:val="FirstParagraph"/>
      </w:pPr>
      <w:r>
        <w:t xml:space="preserve">Your annual financial statements show the full picture of your business for the year. We prepare:</w:t>
      </w:r>
    </w:p>
    <w:bookmarkStart w:id="23" w:name="balance-sheet"/>
    <w:p>
      <w:pPr>
        <w:pStyle w:val="Heading3"/>
      </w:pPr>
      <w:r>
        <w:t xml:space="preserve">Balance Sheet</w:t>
      </w:r>
    </w:p>
    <w:p>
      <w:pPr>
        <w:pStyle w:val="FirstParagraph"/>
      </w:pPr>
      <w:r>
        <w:t xml:space="preserve">What your business owns, what it owes and the owner’s equity at year end.</w:t>
      </w:r>
    </w:p>
    <w:bookmarkEnd w:id="23"/>
    <w:bookmarkStart w:id="24" w:name="income-statement"/>
    <w:p>
      <w:pPr>
        <w:pStyle w:val="Heading3"/>
      </w:pPr>
      <w:r>
        <w:t xml:space="preserve">Income Statement</w:t>
      </w:r>
    </w:p>
    <w:p>
      <w:pPr>
        <w:pStyle w:val="FirstParagraph"/>
      </w:pPr>
      <w:r>
        <w:t xml:space="preserve">Your revenue, expenses and profit for the year, so you can see how the business performed.</w:t>
      </w:r>
    </w:p>
    <w:bookmarkEnd w:id="24"/>
    <w:bookmarkStart w:id="26" w:name="notes-and-supporting-schedules"/>
    <w:p>
      <w:pPr>
        <w:pStyle w:val="Heading3"/>
      </w:pPr>
      <w:r>
        <w:t xml:space="preserve">Notes and Supporting Schedules</w:t>
      </w:r>
    </w:p>
    <w:p>
      <w:pPr>
        <w:pStyle w:val="FirstParagraph"/>
      </w:pPr>
      <w:r>
        <w:t xml:space="preserve">Additional details your bank, lender or CRA may need to understand the numbers.</w:t>
      </w:r>
    </w:p>
    <w:p>
      <w:pPr>
        <w:pStyle w:val="BodyText"/>
      </w:pPr>
      <w:r>
        <w:t xml:space="preserve">We use your books and records to prepare these statements. If your records need work first, our</w:t>
      </w:r>
      <w:r>
        <w:t xml:space="preserve"> </w:t>
      </w:r>
      <w:hyperlink r:id="rId25">
        <w:r>
          <w:rPr>
            <w:rStyle w:val="Hyperlink"/>
          </w:rPr>
          <w:t xml:space="preserve">bookkeeping services</w:t>
        </w:r>
      </w:hyperlink>
      <w:r>
        <w:t xml:space="preserve"> </w:t>
      </w:r>
      <w:r>
        <w:t xml:space="preserve">can get them up to date.</w:t>
      </w:r>
    </w:p>
    <w:bookmarkEnd w:id="26"/>
    <w:bookmarkEnd w:id="27"/>
    <w:bookmarkStart w:id="28" w:name="compilation-engagements-notice-to-reader"/>
    <w:p>
      <w:pPr>
        <w:pStyle w:val="Heading2"/>
      </w:pPr>
      <w:r>
        <w:t xml:space="preserve">Compilation Engagements (Notice to Reader)</w:t>
      </w:r>
    </w:p>
    <w:p>
      <w:pPr>
        <w:pStyle w:val="FirstParagraph"/>
      </w:pPr>
      <w:r>
        <w:t xml:space="preserve">In a compilation engagement, the financial statements are compiled from information provided by management or the owner. In this report, we act as accountants and not as auditors. There is no attempt to audit, review or verify the accuracy or completeness of the information, and the report says so clearly.</w:t>
      </w:r>
    </w:p>
    <w:p>
      <w:pPr>
        <w:pStyle w:val="BodyText"/>
      </w:pPr>
      <w:r>
        <w:t xml:space="preserve">Compilation engagements were long known as</w:t>
      </w:r>
      <w:r>
        <w:t xml:space="preserve"> </w:t>
      </w:r>
      <w:r>
        <w:t xml:space="preserve">“</w:t>
      </w:r>
      <w:r>
        <w:t xml:space="preserve">Notice to Reader</w:t>
      </w:r>
      <w:r>
        <w:t xml:space="preserve">”</w:t>
      </w:r>
      <w:r>
        <w:t xml:space="preserve"> </w:t>
      </w:r>
      <w:r>
        <w:t xml:space="preserve">(NTR) engagements. Under current Canadian standards, they are issued with a compilation engagement report. Either way, they are the most common type of year-end statements for small and medium-sized private businesses in Ontario, and they are widely accepted by banks and lenders for financing.</w:t>
      </w:r>
    </w:p>
    <w:p>
      <w:pPr>
        <w:pStyle w:val="BlockText"/>
        <w:shd w:val="clear" w:color="auto" w:fill="E8F1FB"/>
      </w:pPr>
      <w:r>
        <w:rPr>
          <w:bCs/>
          <w:b/>
        </w:rPr>
        <w:t xml:space="preserve">[CTA BOX]</w:t>
      </w:r>
      <w:r>
        <w:t xml:space="preserve"> </w:t>
      </w:r>
      <w:r>
        <w:t xml:space="preserve">Applying for a loan or line of credit? We prepare compiled statements your lender can use.</w:t>
      </w:r>
    </w:p>
    <w:p>
      <w:pPr>
        <w:pStyle w:val="BlockText"/>
        <w:shd w:val="clear" w:color="auto" w:fill="E8F1FB"/>
      </w:pPr>
      <w:r>
        <w:t xml:space="preserve">Buttons:</w:t>
      </w:r>
      <w:r>
        <w:t xml:space="preserve"> </w:t>
      </w:r>
      <w:hyperlink r:id="rId21">
        <w:r>
          <w:rPr>
            <w:rStyle w:val="Hyperlink"/>
            <w:bCs/>
            <w:b/>
          </w:rPr>
          <w:t xml:space="preserve">Book a Consultation</w:t>
        </w:r>
      </w:hyperlink>
      <w:r>
        <w:t xml:space="preserve"> </w:t>
      </w:r>
      <w:r>
        <w:t xml:space="preserve">|</w:t>
      </w:r>
      <w:r>
        <w:t xml:space="preserve"> </w:t>
      </w:r>
      <w:r>
        <w:rPr>
          <w:bCs/>
          <w:b/>
        </w:rPr>
        <w:t xml:space="preserve">Call 416-907-0568</w:t>
      </w:r>
    </w:p>
    <w:bookmarkEnd w:id="28"/>
    <w:bookmarkStart w:id="30" w:name="who-needs-financial-statements"/>
    <w:p>
      <w:pPr>
        <w:pStyle w:val="Heading2"/>
      </w:pPr>
      <w:r>
        <w:t xml:space="preserve">Who Needs Financial Statements?</w:t>
      </w:r>
    </w:p>
    <w:p>
      <w:pPr>
        <w:numPr>
          <w:ilvl w:val="0"/>
          <w:numId w:val="1002"/>
        </w:numPr>
        <w:pStyle w:val="Compact"/>
      </w:pPr>
      <w:r>
        <w:rPr>
          <w:bCs/>
          <w:b/>
        </w:rPr>
        <w:t xml:space="preserve">Corporations</w:t>
      </w:r>
      <w:r>
        <w:t xml:space="preserve"> </w:t>
      </w:r>
      <w:r>
        <w:t xml:space="preserve">filing a T2 return, which requires financial information with every return.</w:t>
      </w:r>
    </w:p>
    <w:p>
      <w:pPr>
        <w:numPr>
          <w:ilvl w:val="0"/>
          <w:numId w:val="1002"/>
        </w:numPr>
        <w:pStyle w:val="Compact"/>
      </w:pPr>
      <w:r>
        <w:rPr>
          <w:bCs/>
          <w:b/>
        </w:rPr>
        <w:t xml:space="preserve">Business owners applying for financing</w:t>
      </w:r>
      <w:r>
        <w:t xml:space="preserve">, such as loans, mortgages or lines of credit.</w:t>
      </w:r>
    </w:p>
    <w:p>
      <w:pPr>
        <w:numPr>
          <w:ilvl w:val="0"/>
          <w:numId w:val="1002"/>
        </w:numPr>
        <w:pStyle w:val="Compact"/>
      </w:pPr>
      <w:r>
        <w:rPr>
          <w:bCs/>
          <w:b/>
        </w:rPr>
        <w:t xml:space="preserve">Companies with lender covenants</w:t>
      </w:r>
      <w:r>
        <w:t xml:space="preserve"> </w:t>
      </w:r>
      <w:r>
        <w:t xml:space="preserve">that must provide statements every year.</w:t>
      </w:r>
    </w:p>
    <w:p>
      <w:pPr>
        <w:numPr>
          <w:ilvl w:val="0"/>
          <w:numId w:val="1002"/>
        </w:numPr>
        <w:pStyle w:val="Compact"/>
      </w:pPr>
      <w:r>
        <w:rPr>
          <w:bCs/>
          <w:b/>
        </w:rPr>
        <w:t xml:space="preserve">Real estate investors</w:t>
      </w:r>
      <w:r>
        <w:t xml:space="preserve"> </w:t>
      </w:r>
      <w:r>
        <w:t xml:space="preserve">holding properties personally or through a corporation. See our</w:t>
      </w:r>
      <w:r>
        <w:t xml:space="preserve"> </w:t>
      </w:r>
      <w:hyperlink r:id="rId29">
        <w:r>
          <w:rPr>
            <w:rStyle w:val="Hyperlink"/>
          </w:rPr>
          <w:t xml:space="preserve">real estate tax return services</w:t>
        </w:r>
      </w:hyperlink>
      <w:r>
        <w:t xml:space="preserve">.</w:t>
      </w:r>
    </w:p>
    <w:p>
      <w:pPr>
        <w:numPr>
          <w:ilvl w:val="0"/>
          <w:numId w:val="1002"/>
        </w:numPr>
        <w:pStyle w:val="Compact"/>
      </w:pPr>
      <w:r>
        <w:rPr>
          <w:bCs/>
          <w:b/>
        </w:rPr>
        <w:t xml:space="preserve">Owners planning to grow, sell or bring in partners</w:t>
      </w:r>
      <w:r>
        <w:t xml:space="preserve">, who need reliable numbers for decisions.</w:t>
      </w:r>
    </w:p>
    <w:bookmarkEnd w:id="30"/>
    <w:bookmarkStart w:id="34" w:name="X508f572964c1c79df5babcbcfb83be449ab49ac"/>
    <w:p>
      <w:pPr>
        <w:pStyle w:val="Heading2"/>
      </w:pPr>
      <w:r>
        <w:t xml:space="preserve">How Financial Statements Support Planning</w:t>
      </w:r>
    </w:p>
    <w:p>
      <w:pPr>
        <w:pStyle w:val="FirstParagraph"/>
      </w:pPr>
      <w:r>
        <w:t xml:space="preserve">Good financial statements are not just for CRA. They give you a starting point for</w:t>
      </w:r>
      <w:r>
        <w:t xml:space="preserve"> </w:t>
      </w:r>
      <w:hyperlink r:id="rId31">
        <w:r>
          <w:rPr>
            <w:rStyle w:val="Hyperlink"/>
          </w:rPr>
          <w:t xml:space="preserve">budgeting and forecasting</w:t>
        </w:r>
      </w:hyperlink>
      <w:r>
        <w:t xml:space="preserve">, help you spot trends in costs and margins, and support smarter</w:t>
      </w:r>
      <w:r>
        <w:t xml:space="preserve"> </w:t>
      </w:r>
      <w:hyperlink r:id="rId32">
        <w:r>
          <w:rPr>
            <w:rStyle w:val="Hyperlink"/>
          </w:rPr>
          <w:t xml:space="preserve">tax planning</w:t>
        </w:r>
      </w:hyperlink>
      <w:r>
        <w:t xml:space="preserve"> </w:t>
      </w:r>
      <w:r>
        <w:t xml:space="preserve">before your next year end. If you are planning to buy, sell or restructure, our</w:t>
      </w:r>
      <w:r>
        <w:t xml:space="preserve"> </w:t>
      </w:r>
      <w:hyperlink r:id="rId33">
        <w:r>
          <w:rPr>
            <w:rStyle w:val="Hyperlink"/>
          </w:rPr>
          <w:t xml:space="preserve">business consulting services</w:t>
        </w:r>
      </w:hyperlink>
      <w:r>
        <w:t xml:space="preserve"> </w:t>
      </w:r>
      <w:r>
        <w:t xml:space="preserve">build on these numbers.</w:t>
      </w:r>
    </w:p>
    <w:bookmarkEnd w:id="34"/>
    <w:bookmarkStart w:id="35" w:name="our-process"/>
    <w:p>
      <w:pPr>
        <w:pStyle w:val="Heading2"/>
      </w:pPr>
      <w:r>
        <w:t xml:space="preserve">Our Process</w:t>
      </w:r>
    </w:p>
    <w:p>
      <w:pPr>
        <w:numPr>
          <w:ilvl w:val="0"/>
          <w:numId w:val="1003"/>
        </w:numPr>
        <w:pStyle w:val="Compact"/>
      </w:pPr>
      <w:r>
        <w:rPr>
          <w:bCs/>
          <w:b/>
        </w:rPr>
        <w:t xml:space="preserve">Consultation.</w:t>
      </w:r>
      <w:r>
        <w:t xml:space="preserve"> </w:t>
      </w:r>
      <w:r>
        <w:t xml:space="preserve">We learn about your business, year end and who will use the statements.</w:t>
      </w:r>
    </w:p>
    <w:p>
      <w:pPr>
        <w:numPr>
          <w:ilvl w:val="0"/>
          <w:numId w:val="1003"/>
        </w:numPr>
        <w:pStyle w:val="Compact"/>
      </w:pPr>
      <w:r>
        <w:rPr>
          <w:bCs/>
          <w:b/>
        </w:rPr>
        <w:t xml:space="preserve">Fixed quote.</w:t>
      </w:r>
      <w:r>
        <w:t xml:space="preserve"> </w:t>
      </w:r>
      <w:r>
        <w:t xml:space="preserve">You know the full cost before any work begins.</w:t>
      </w:r>
    </w:p>
    <w:p>
      <w:pPr>
        <w:numPr>
          <w:ilvl w:val="0"/>
          <w:numId w:val="1003"/>
        </w:numPr>
        <w:pStyle w:val="Compact"/>
      </w:pPr>
      <w:r>
        <w:rPr>
          <w:bCs/>
          <w:b/>
        </w:rPr>
        <w:t xml:space="preserve">Records review.</w:t>
      </w:r>
      <w:r>
        <w:t xml:space="preserve"> </w:t>
      </w:r>
      <w:r>
        <w:t xml:space="preserve">We review your books, bank statements and supporting documents.</w:t>
      </w:r>
    </w:p>
    <w:p>
      <w:pPr>
        <w:numPr>
          <w:ilvl w:val="0"/>
          <w:numId w:val="1003"/>
        </w:numPr>
        <w:pStyle w:val="Compact"/>
      </w:pPr>
      <w:r>
        <w:rPr>
          <w:bCs/>
          <w:b/>
        </w:rPr>
        <w:t xml:space="preserve">Adjustments.</w:t>
      </w:r>
      <w:r>
        <w:t xml:space="preserve"> </w:t>
      </w:r>
      <w:r>
        <w:t xml:space="preserve">We propose year-end adjusting entries where needed.</w:t>
      </w:r>
    </w:p>
    <w:p>
      <w:pPr>
        <w:numPr>
          <w:ilvl w:val="0"/>
          <w:numId w:val="1003"/>
        </w:numPr>
        <w:pStyle w:val="Compact"/>
      </w:pPr>
      <w:r>
        <w:rPr>
          <w:bCs/>
          <w:b/>
        </w:rPr>
        <w:t xml:space="preserve">Preparation and CPA review.</w:t>
      </w:r>
      <w:r>
        <w:t xml:space="preserve"> </w:t>
      </w:r>
      <w:r>
        <w:t xml:space="preserve">We prepare the statements and the compilation engagement report.</w:t>
      </w:r>
    </w:p>
    <w:p>
      <w:pPr>
        <w:numPr>
          <w:ilvl w:val="0"/>
          <w:numId w:val="1003"/>
        </w:numPr>
        <w:pStyle w:val="Compact"/>
      </w:pPr>
      <w:r>
        <w:rPr>
          <w:bCs/>
          <w:b/>
        </w:rPr>
        <w:t xml:space="preserve">Delivery and explanation.</w:t>
      </w:r>
      <w:r>
        <w:t xml:space="preserve"> </w:t>
      </w:r>
      <w:r>
        <w:t xml:space="preserve">We walk you through the results and how they affect your tax return.</w:t>
      </w:r>
    </w:p>
    <w:p>
      <w:pPr>
        <w:pStyle w:val="BlockText"/>
        <w:shd w:val="clear" w:color="auto" w:fill="E8F1FB"/>
      </w:pPr>
      <w:r>
        <w:rPr>
          <w:bCs/>
          <w:b/>
        </w:rPr>
        <w:t xml:space="preserve">[CTA BOX]</w:t>
      </w:r>
      <w:r>
        <w:t xml:space="preserve"> </w:t>
      </w:r>
      <w:r>
        <w:t xml:space="preserve">Year end coming up? Book early and get your statements on time.</w:t>
      </w:r>
    </w:p>
    <w:p>
      <w:pPr>
        <w:pStyle w:val="BlockText"/>
        <w:shd w:val="clear" w:color="auto" w:fill="E8F1FB"/>
      </w:pPr>
      <w:r>
        <w:t xml:space="preserve">Buttons:</w:t>
      </w:r>
      <w:r>
        <w:t xml:space="preserve"> </w:t>
      </w:r>
      <w:hyperlink r:id="rId21">
        <w:r>
          <w:rPr>
            <w:rStyle w:val="Hyperlink"/>
            <w:bCs/>
            <w:b/>
          </w:rPr>
          <w:t xml:space="preserve">Contact Us Today</w:t>
        </w:r>
      </w:hyperlink>
      <w:r>
        <w:t xml:space="preserve"> </w:t>
      </w:r>
      <w:r>
        <w:t xml:space="preserve">|</w:t>
      </w:r>
      <w:r>
        <w:t xml:space="preserve"> </w:t>
      </w:r>
      <w:r>
        <w:rPr>
          <w:bCs/>
          <w:b/>
        </w:rPr>
        <w:t xml:space="preserve">Call 416-907-0568</w:t>
      </w:r>
    </w:p>
    <w:bookmarkEnd w:id="35"/>
    <w:bookmarkStart w:id="36" w:name="what-we-need-from-you"/>
    <w:p>
      <w:pPr>
        <w:pStyle w:val="Heading2"/>
      </w:pPr>
      <w:r>
        <w:t xml:space="preserve">What We Need From You</w:t>
      </w:r>
    </w:p>
    <w:p>
      <w:pPr>
        <w:pStyle w:val="FirstParagraph"/>
      </w:pPr>
      <w:r>
        <w:t xml:space="preserve">Preparing financial statements is faster and less costly when your records are organized. Most businesses will need to provide:</w:t>
      </w:r>
    </w:p>
    <w:p>
      <w:pPr>
        <w:numPr>
          <w:ilvl w:val="0"/>
          <w:numId w:val="1004"/>
        </w:numPr>
        <w:pStyle w:val="Compact"/>
      </w:pPr>
      <w:r>
        <w:t xml:space="preserve">Bank and credit card statements for the full year</w:t>
      </w:r>
    </w:p>
    <w:p>
      <w:pPr>
        <w:numPr>
          <w:ilvl w:val="0"/>
          <w:numId w:val="1004"/>
        </w:numPr>
        <w:pStyle w:val="Compact"/>
      </w:pPr>
      <w:r>
        <w:t xml:space="preserve">Your bookkeeping file or general ledger, if you keep one</w:t>
      </w:r>
    </w:p>
    <w:p>
      <w:pPr>
        <w:numPr>
          <w:ilvl w:val="0"/>
          <w:numId w:val="1004"/>
        </w:numPr>
        <w:pStyle w:val="Compact"/>
      </w:pPr>
      <w:r>
        <w:t xml:space="preserve">Sales and purchase invoices, or summaries of them</w:t>
      </w:r>
    </w:p>
    <w:p>
      <w:pPr>
        <w:numPr>
          <w:ilvl w:val="0"/>
          <w:numId w:val="1004"/>
        </w:numPr>
        <w:pStyle w:val="Compact"/>
      </w:pPr>
      <w:r>
        <w:t xml:space="preserve">Loan, lease and line of credit statements</w:t>
      </w:r>
    </w:p>
    <w:p>
      <w:pPr>
        <w:numPr>
          <w:ilvl w:val="0"/>
          <w:numId w:val="1004"/>
        </w:numPr>
        <w:pStyle w:val="Compact"/>
      </w:pPr>
      <w:r>
        <w:t xml:space="preserve">Payroll summaries and HST returns filed during the year</w:t>
      </w:r>
    </w:p>
    <w:p>
      <w:pPr>
        <w:numPr>
          <w:ilvl w:val="0"/>
          <w:numId w:val="1004"/>
        </w:numPr>
        <w:pStyle w:val="Compact"/>
      </w:pPr>
      <w:r>
        <w:t xml:space="preserve">Details of any equipment, vehicles or property bought or sold</w:t>
      </w:r>
    </w:p>
    <w:p>
      <w:pPr>
        <w:numPr>
          <w:ilvl w:val="0"/>
          <w:numId w:val="1004"/>
        </w:numPr>
        <w:pStyle w:val="Compact"/>
      </w:pPr>
      <w:r>
        <w:t xml:space="preserve">Last year’s financial statements and tax return</w:t>
      </w:r>
    </w:p>
    <w:p>
      <w:pPr>
        <w:pStyle w:val="FirstParagraph"/>
      </w:pPr>
      <w:r>
        <w:t xml:space="preserve">If some of these are missing, we will tell you exactly what is needed and help you fill the gaps. A clear checklist means fewer back-and-forth questions and statements delivered on time for your lender or your tax filing deadline.</w:t>
      </w:r>
    </w:p>
    <w:bookmarkEnd w:id="36"/>
    <w:bookmarkStart w:id="37" w:name="Xee1eea017bcc21be3a4afeeb6b46fd423ad8714"/>
    <w:p>
      <w:pPr>
        <w:pStyle w:val="Heading2"/>
      </w:pPr>
      <w:r>
        <w:t xml:space="preserve">Serving Businesses Across the GTA and Ontario</w:t>
      </w:r>
    </w:p>
    <w:p>
      <w:pPr>
        <w:pStyle w:val="FirstParagraph"/>
      </w:pPr>
      <w:r>
        <w:t xml:space="preserve">Our office is at 2 County Court Blvd, Suite 400, in Brampton. We prepare financial statements for businesses in Brampton, Mississauga, Caledon, Bolton, Georgetown, Milton, Toronto, Etobicoke, Vaughan, Oakville and across Ontario.</w:t>
      </w:r>
    </w:p>
    <w:bookmarkEnd w:id="37"/>
    <w:bookmarkStart w:id="38" w:name="why-choose-bajwa-cpa"/>
    <w:p>
      <w:pPr>
        <w:pStyle w:val="Heading2"/>
      </w:pPr>
      <w:r>
        <w:t xml:space="preserve">Why Choose Bajwa CPA</w:t>
      </w:r>
    </w:p>
    <w:p>
      <w:pPr>
        <w:pStyle w:val="FirstParagraph"/>
      </w:pPr>
      <w:r>
        <w:t xml:space="preserve">At Bajwa CPA, we take the time to learn about and understand each client’s business to make sure we truly meet their needs and provide outstanding professional service. Our goal is to deliver our services in an easy-to-understand manner that is both timely and reliable. We work with consultants, medical and dental professionals, construction companies, retail stores, automotive businesses, real estate brokerages, franchises and many more.</w:t>
      </w:r>
    </w:p>
    <w:bookmarkEnd w:id="38"/>
    <w:bookmarkStart w:id="44" w:name="frequently-asked-questions"/>
    <w:p>
      <w:pPr>
        <w:pStyle w:val="Heading2"/>
      </w:pPr>
      <w:r>
        <w:t xml:space="preserve">Frequently Asked Questions</w:t>
      </w:r>
    </w:p>
    <w:bookmarkStart w:id="39" w:name="X3bcf7d4502403183381abfc6ed921952053572d"/>
    <w:p>
      <w:pPr>
        <w:pStyle w:val="Heading3"/>
      </w:pPr>
      <w:r>
        <w:t xml:space="preserve">What is the difference between a compilation, a review and an audit?</w:t>
      </w:r>
    </w:p>
    <w:p>
      <w:pPr>
        <w:pStyle w:val="FirstParagraph"/>
      </w:pPr>
      <w:r>
        <w:t xml:space="preserve">A compilation puts your financial information into statement form without verifying it. A review provides limited assurance through inquiry and analysis. An audit provides the highest level of assurance. Most small private businesses only need a compilation.</w:t>
      </w:r>
    </w:p>
    <w:bookmarkEnd w:id="39"/>
    <w:bookmarkStart w:id="40" w:name="X2710c3ceaea7b82af0523651d0b12b5e83f510b"/>
    <w:p>
      <w:pPr>
        <w:pStyle w:val="Heading3"/>
      </w:pPr>
      <w:r>
        <w:t xml:space="preserve">Is a Notice to Reader the same as a compilation engagement?</w:t>
      </w:r>
    </w:p>
    <w:p>
      <w:pPr>
        <w:pStyle w:val="FirstParagraph"/>
      </w:pPr>
      <w:r>
        <w:t xml:space="preserve">Yes.</w:t>
      </w:r>
      <w:r>
        <w:t xml:space="preserve"> </w:t>
      </w:r>
      <w:r>
        <w:t xml:space="preserve">“</w:t>
      </w:r>
      <w:r>
        <w:t xml:space="preserve">Notice to Reader</w:t>
      </w:r>
      <w:r>
        <w:t xml:space="preserve">”</w:t>
      </w:r>
      <w:r>
        <w:t xml:space="preserve"> </w:t>
      </w:r>
      <w:r>
        <w:t xml:space="preserve">was the older name. Compilation engagements are now issued under updated Canadian standards with a compilation engagement report.</w:t>
      </w:r>
    </w:p>
    <w:bookmarkEnd w:id="40"/>
    <w:bookmarkStart w:id="41" w:name="X587bdaf7fcd20bd009e2c68abc0d5810687ac5a"/>
    <w:p>
      <w:pPr>
        <w:pStyle w:val="Heading3"/>
      </w:pPr>
      <w:r>
        <w:t xml:space="preserve">Will my bank accept compiled financial statements?</w:t>
      </w:r>
    </w:p>
    <w:p>
      <w:pPr>
        <w:pStyle w:val="FirstParagraph"/>
      </w:pPr>
      <w:r>
        <w:t xml:space="preserve">Most banks and lenders accept compiled statements for small and medium-sized businesses. Some larger loans may require a review or audit, so check with your lender.</w:t>
      </w:r>
    </w:p>
    <w:bookmarkEnd w:id="41"/>
    <w:bookmarkStart w:id="42" w:name="Xcc8c6b16ac34f14d6f30f1783ff923338fa580a"/>
    <w:p>
      <w:pPr>
        <w:pStyle w:val="Heading3"/>
      </w:pPr>
      <w:r>
        <w:t xml:space="preserve">Do I need financial statements to file my corporate tax return?</w:t>
      </w:r>
    </w:p>
    <w:p>
      <w:pPr>
        <w:pStyle w:val="FirstParagraph"/>
      </w:pPr>
      <w:r>
        <w:t xml:space="preserve">Yes. Corporations must include financial information with their T2 return, so year-end statements are part of the process.</w:t>
      </w:r>
    </w:p>
    <w:bookmarkEnd w:id="42"/>
    <w:bookmarkStart w:id="43" w:name="how-much-do-financial-statements-cost"/>
    <w:p>
      <w:pPr>
        <w:pStyle w:val="Heading3"/>
      </w:pPr>
      <w:r>
        <w:t xml:space="preserve">How much do financial statements cost?</w:t>
      </w:r>
    </w:p>
    <w:p>
      <w:pPr>
        <w:pStyle w:val="FirstParagraph"/>
      </w:pPr>
      <w:r>
        <w:t xml:space="preserve">It depends on the size of your business and the condition of your records. You get a fixed quote after a consultation.</w:t>
      </w:r>
    </w:p>
    <w:bookmarkEnd w:id="43"/>
    <w:bookmarkEnd w:id="44"/>
    <w:bookmarkStart w:id="45" w:name="get-your-financial-statements-prepared"/>
    <w:p>
      <w:pPr>
        <w:pStyle w:val="Heading2"/>
      </w:pPr>
      <w:r>
        <w:t xml:space="preserve">Get Your Financial Statements Prepared</w:t>
      </w:r>
    </w:p>
    <w:p>
      <w:pPr>
        <w:pStyle w:val="FirstParagraph"/>
      </w:pPr>
      <w:r>
        <w:t xml:space="preserve">Looking for a CPA to prepare financial statements in Brampton or Mississauga? Call</w:t>
      </w:r>
      <w:r>
        <w:t xml:space="preserve"> </w:t>
      </w:r>
      <w:r>
        <w:rPr>
          <w:bCs/>
          <w:b/>
        </w:rPr>
        <w:t xml:space="preserve">416-907-0568</w:t>
      </w:r>
      <w:r>
        <w:t xml:space="preserve"> </w:t>
      </w:r>
      <w:r>
        <w:t xml:space="preserve">or</w:t>
      </w:r>
      <w:r>
        <w:t xml:space="preserve"> </w:t>
      </w:r>
      <w:hyperlink r:id="rId21">
        <w:r>
          <w:rPr>
            <w:rStyle w:val="Hyperlink"/>
          </w:rPr>
          <w:t xml:space="preserve">contact us today</w:t>
        </w:r>
      </w:hyperlink>
      <w:r>
        <w:t xml:space="preserve"> </w:t>
      </w:r>
      <w:r>
        <w:t xml:space="preserve">to book a consultation.</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2"/>
    </w:rPr>
  </w:style>
  <w:style w:styleId="BodyText" w:type="paragraph">
    <w:name w:val="Body Text"/>
    <w:basedOn w:val="Normal"/>
    <w:link w:val="BodyTextChar"/>
    <w:pPr>
      <w:spacing w:after="180" w:before="180"/>
    </w:pPr>
    <w:qFormat/>
    <w:rPr>
      <w:rFonts w:ascii="Arial" w:hAnsi="Arial" w:eastAsia="Arial"/>
      <w:sz w:val="22"/>
    </w:rPr>
  </w:style>
  <w:style w:customStyle="1" w:styleId="FirstParagraph" w:type="paragraph">
    <w:name w:val="First Paragraph"/>
    <w:basedOn w:val="BodyText"/>
    <w:next w:val="BodyText"/>
    <w:qFormat/>
    <w:rPr>
      <w:rFonts w:ascii="Arial" w:hAnsi="Arial" w:eastAsia="Arial"/>
      <w:sz w:val="22"/>
    </w:rPr>
  </w:style>
  <w:style w:customStyle="1" w:styleId="Compact" w:type="paragraph">
    <w:name w:val="Compact"/>
    <w:basedOn w:val="BodyText"/>
    <w:qFormat/>
    <w:pPr>
      <w:spacing w:after="36" w:before="36"/>
    </w:pPr>
    <w:rPr>
      <w:rFonts w:ascii="Arial" w:hAnsi="Arial" w:eastAsia="Arial"/>
    </w:rPr>
  </w:style>
  <w:style w:styleId="Title" w:type="paragraph">
    <w:name w:val="Title"/>
    <w:basedOn w:val="Normal"/>
    <w:next w:val="BodyText"/>
    <w:qFormat/>
    <w:pPr>
      <w:keepNext/>
      <w:keepLines/>
      <w:spacing w:after="240" w:before="480"/>
      <w:jc w:val="center"/>
    </w:pPr>
    <w:rPr>
      <w:rFonts w:ascii="Arial" w:hAnsi="Arial" w:eastAsia="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Arial" w:hAnsi="Arial" w:eastAsia="Arial"/>
      <w:sz w:val="30"/>
      <w:szCs w:val="30"/>
    </w:rPr>
  </w:style>
  <w:style w:customStyle="1" w:styleId="Author" w:type="paragraph">
    <w:name w:val="Author"/>
    <w:next w:val="BodyText"/>
    <w:qFormat/>
    <w:pPr>
      <w:keepNext/>
      <w:keepLines/>
      <w:jc w:val="center"/>
    </w:pPr>
    <w:rPr>
      <w:rFonts w:ascii="Arial" w:hAnsi="Arial" w:eastAsia="Arial"/>
    </w:rPr>
  </w:style>
  <w:style w:styleId="Date" w:type="paragraph">
    <w:name w:val="Date"/>
    <w:next w:val="BodyText"/>
    <w:qFormat/>
    <w:pPr>
      <w:keepNext/>
      <w:keepLines/>
      <w:jc w:val="center"/>
    </w:pPr>
    <w:rPr>
      <w:rFonts w:ascii="Arial" w:hAnsi="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eastAsia="Arial"/>
      <w:b/>
      <w:color w:val="345A8A"/>
      &gt;
    </w:rPr>
  </w:style>
  <w:style w:customStyle="1" w:styleId="Abstract" w:type="paragraph">
    <w:name w:val="Abstract"/>
    <w:basedOn w:val="Normal"/>
    <w:next w:val="BodyText"/>
    <w:qFormat/>
    <w:pPr>
      <w:keepNext/>
      <w:keepLines/>
      <w:spacing w:after="300" w:before="100"/>
    </w:pPr>
    <w:rPr>
      <w:rFonts w:ascii="Arial" w:hAnsi="Arial" w:eastAsia="Arial"/>
      <w:sz w:val="20"/>
      <w:szCs w:val="20"/>
    </w:rPr>
  </w:style>
  <w:style w:styleId="Bibliography" w:type="paragraph">
    <w:name w:val="Bibliography"/>
    <w:basedOn w:val="Normal"/>
    <w:next w:val="Bibliography"/>
    <w:qFormat/>
    <w:pPr/>
    <w:rPr>
      <w:rFonts w:ascii="Arial" w:hAnsi="Arial" w:eastAsia="Arial"/>
    </w:rPr>
  </w:style>
  <w:style w:styleId="Heading1" w:type="paragraph">
    <w:name w:val="Heading 1"/>
    <w:basedOn w:val="Normal"/>
    <w:next w:val="BodyText"/>
    <w:uiPriority w:val="9"/>
    <w:qFormat/>
    <w:pPr>
      <w:keepNext/>
      <w:keepLines/>
      <w:spacing w:after="0" w:before="480"/>
      <w:outlineLvl w:val="0"/>
    </w:pPr>
    <w:rPr>
      <w:rFonts w:ascii="Arial" w:hAnsi="Arial" w:eastAsia="Arial"/>
      <w:b/>
      <w:bCs/>
      <w:color w:val="1F3A5F"/>
      <w:sz w:val="40"/>
      <w:szCs w:val="32"/>
    </w:rPr>
  </w:style>
  <w:style w:styleId="Heading2" w:type="paragraph">
    <w:name w:val="Heading 2"/>
    <w:basedOn w:val="Normal"/>
    <w:next w:val="BodyText"/>
    <w:uiPriority w:val="9"/>
    <w:unhideWhenUsed/>
    <w:qFormat/>
    <w:pPr>
      <w:keepNext/>
      <w:keepLines/>
      <w:spacing w:after="0" w:before="200"/>
      <w:outlineLvl w:val="1"/>
    </w:pPr>
    <w:rPr>
      <w:rFonts w:ascii="Arial" w:hAnsi="Arial" w:eastAsia="Arial"/>
      <w:b/>
      <w:bCs/>
      <w:color w:val="1F3A5F"/>
      <w:sz w:val="30"/>
      <w:szCs w:val="28"/>
    </w:rPr>
  </w:style>
  <w:style w:styleId="Heading3" w:type="paragraph">
    <w:name w:val="Heading 3"/>
    <w:basedOn w:val="Normal"/>
    <w:next w:val="BodyText"/>
    <w:uiPriority w:val="9"/>
    <w:unhideWhenUsed/>
    <w:qFormat/>
    <w:pPr>
      <w:keepNext/>
      <w:keepLines/>
      <w:spacing w:after="0" w:before="200"/>
      <w:outlineLvl w:val="2"/>
    </w:pPr>
    <w:rPr>
      <w:rFonts w:ascii="Arial" w:hAnsi="Arial" w:eastAsia="Arial"/>
      <w:b/>
      <w:bCs/>
      <w:color w:val="1F3A5F"/>
      <w:sz w:val="25"/>
      <w:szCs w:val="24"/>
    </w:rPr>
  </w:style>
  <w:style w:styleId="Heading4" w:type="paragraph">
    <w:name w:val="Heading 4"/>
    <w:basedOn w:val="Normal"/>
    <w:next w:val="BodyText"/>
    <w:uiPriority w:val="9"/>
    <w:unhideWhenUsed/>
    <w:qFormat/>
    <w:pPr>
      <w:keepNext/>
      <w:keepLines/>
      <w:spacing w:after="0" w:before="200"/>
      <w:outlineLvl w:val="3"/>
    </w:pPr>
    <w:rPr>
      <w:rFonts w:ascii="Arial" w:hAnsi="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hAnsi="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hAnsi="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hAnsi="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hAnsi="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hAnsi="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eastAsia="Arial"/>
    </w:rPr>
  </w:style>
  <w:style w:styleId="FootnoteText" w:type="paragraph">
    <w:name w:val="Footnote Text"/>
    <w:basedOn w:val="Normal"/>
    <w:next w:val="FootnoteText"/>
    <w:uiPriority w:val="9"/>
    <w:unhideWhenUsed/>
    <w:qFormat/>
    <w:rPr>
      <w:rFonts w:ascii="Arial" w:hAnsi="Arial" w:eastAsia="Arial"/>
    </w:rPr>
  </w:style>
  <w:style w:default="1" w:styleId="DefaultParagraphFont" w:type="character">
    <w:name w:val="Default Paragraph Font"/>
    <w:semiHidden/>
    <w:unhideWhenUsed/>
    <w:rPr>
      <w:rFonts w:ascii="Arial" w:hAnsi="Arial" w:eastAsia="Arial"/>
    </w:rPr>
  </w:style>
  <w:style w:default="1" w:styleId="Table" w:type="table">
    <w:name w:val="Table"/>
    <w:basedOn w:val="TableNormal"/>
    <w:semiHidden/>
    <w:unhideWhenUsed/>
    <w:qFormat/>
    <w:rPr>
      <w:rFonts w:ascii="Arial" w:hAnsi="Arial" w:eastAsia="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eastAsia="Arial"/>
      <w:b/>
    </w:rPr>
  </w:style>
  <w:style w:customStyle="1" w:styleId="Definition" w:type="paragraph">
    <w:name w:val="Definition"/>
    <w:basedOn w:val="Normal"/>
    <w:rPr>
      <w:rFonts w:ascii="Arial" w:hAnsi="Arial" w:eastAsia="Arial"/>
    </w:rPr>
  </w:style>
  <w:style w:styleId="Caption" w:type="paragraph">
    <w:name w:val="Caption"/>
    <w:basedOn w:val="Normal"/>
    <w:link w:val="BodyTextChar"/>
    <w:pPr>
      <w:spacing w:after="120" w:before="0"/>
    </w:pPr>
    <w:rPr>
      <w:rFonts w:ascii="Arial" w:hAnsi="Arial" w:eastAsia="Arial"/>
      <w:i/>
    </w:rPr>
  </w:style>
  <w:style w:customStyle="1" w:styleId="TableCaption" w:type="paragraph">
    <w:name w:val="Table Caption"/>
    <w:basedOn w:val="Caption"/>
    <w:pPr>
      <w:keepNext/>
    </w:pPr>
    <w:rPr>
      <w:rFonts w:ascii="Arial" w:hAnsi="Arial" w:eastAsia="Arial"/>
    </w:rPr>
  </w:style>
  <w:style w:customStyle="1" w:styleId="ImageCaption" w:type="paragraph">
    <w:name w:val="Image Caption"/>
    <w:basedOn w:val="Caption"/>
    <w:rPr>
      <w:rFonts w:ascii="Arial" w:hAnsi="Arial" w:eastAsia="Arial"/>
    </w:rPr>
  </w:style>
  <w:style w:customStyle="1" w:styleId="Figure" w:type="paragraph">
    <w:name w:val="Figure"/>
    <w:basedOn w:val="Normal"/>
    <w:rPr>
      <w:rFonts w:ascii="Arial" w:hAnsi="Arial" w:eastAsia="Arial"/>
    </w:rPr>
  </w:style>
  <w:style w:customStyle="1" w:styleId="CaptionedFigure" w:type="paragraph">
    <w:name w:val="Captioned Figure"/>
    <w:basedOn w:val="Figure"/>
    <w:pPr>
      <w:keepNext/>
    </w:pPr>
    <w:rPr>
      <w:rFonts w:ascii="Arial" w:hAnsi="Arial" w:eastAsia="Arial"/>
    </w:rPr>
  </w:style>
  <w:style w:customStyle="1" w:styleId="BodyTextChar" w:type="character">
    <w:name w:val="Body Text Char"/>
    <w:basedOn w:val="DefaultParagraphFont"/>
    <w:link w:val="BodyText"/>
    <w:rPr>
      <w:rFonts w:ascii="Arial" w:hAnsi="Arial" w:eastAsia="Arial"/>
    </w:rPr>
  </w:style>
  <w:style w:customStyle="1" w:styleId="VerbatimChar" w:type="character">
    <w:name w:val="Verbatim Char"/>
    <w:basedOn w:val="BodyTextChar"/>
    <w:rPr>
      <w:rFonts w:ascii="Arial" w:hAnsi="Arial" w:eastAsia="Arial"/>
      <w:sz w:val="22"/>
    </w:rPr>
  </w:style>
  <w:style w:customStyle="1" w:styleId="SectionNumber" w:type="character">
    <w:name w:val="Section Number"/>
    <w:basedOn w:val="BodyTextChar"/>
    <w:rPr>
      <w:rFonts w:ascii="Arial" w:hAnsi="Arial" w:eastAsia="Arial"/>
    </w:rPr>
  </w:style>
  <w:style w:styleId="FootnoteReference" w:type="character">
    <w:name w:val="Footnote Reference"/>
    <w:basedOn w:val="BodyTextChar"/>
    <w:rPr>
      <w:rFonts w:ascii="Arial" w:hAnsi="Arial" w:eastAsia="Arial"/>
      <w:vertAlign w:val="superscript"/>
    </w:rPr>
  </w:style>
  <w:style w:styleId="Hyperlink" w:type="character">
    <w:name w:val="Hyperlink"/>
    <w:basedOn w:val="BodyTextChar"/>
    <w:rPr>
      <w:rFonts w:ascii="Arial" w:hAnsi="Arial" w:eastAsia="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hAnsi="Arial" w:eastAsia="Arial"/>
      <w:b w:val="0"/>
      <w:bCs w:val="0"/>
      <w:color w:themeColor="accent1" w:themeShade="BF" w:val="365F91"/>
    </w:rPr>
  </w:style>
  <w:style w:type="paragraph" w:customStyle="1" w:styleId="SourceCode">
    <w:name w:val="Source Code"/>
    <w:basedOn w:val="Normal"/>
    <w:link w:val="VerbatimChar"/>
    <w:pPr>
      <w:wordWrap w:val="off"/>
    </w:pPr>
    <w:rPr>
      <w:rFonts w:ascii="Arial" w:hAnsi="Arial" w:eastAsia="Arial"/>
    </w:rPr>
  </w:style>
  <w:style w:type="character" w:customStyle="1" w:styleId="KeywordTok">
    <w:name w:val="KeywordTok"/>
    <w:basedOn w:val="VerbatimChar"/>
    <w:rPr>
      <w:color w:val="007020"/>
      <w:rFonts w:ascii="Arial" w:hAnsi="Arial" w:eastAsia="Arial"/>
      <w:b/>
    </w:rPr>
  </w:style>
  <w:style w:type="character" w:customStyle="1" w:styleId="DataTypeTok">
    <w:name w:val="DataTypeTok"/>
    <w:basedOn w:val="VerbatimChar"/>
    <w:rPr>
      <w:rFonts w:ascii="Arial" w:hAnsi="Arial" w:eastAsia="Arial"/>
      <w:color w:val="902000"/>
    </w:rPr>
  </w:style>
  <w:style w:type="character" w:customStyle="1" w:styleId="DecValTok">
    <w:name w:val="DecValTok"/>
    <w:basedOn w:val="VerbatimChar"/>
    <w:rPr>
      <w:rFonts w:ascii="Arial" w:hAnsi="Arial" w:eastAsia="Arial"/>
      <w:color w:val="40a070"/>
    </w:rPr>
  </w:style>
  <w:style w:type="character" w:customStyle="1" w:styleId="BaseNTok">
    <w:name w:val="BaseNTok"/>
    <w:basedOn w:val="VerbatimChar"/>
    <w:rPr>
      <w:rFonts w:ascii="Arial" w:hAnsi="Arial" w:eastAsia="Arial"/>
      <w:color w:val="40a070"/>
    </w:rPr>
  </w:style>
  <w:style w:type="character" w:customStyle="1" w:styleId="FloatTok">
    <w:name w:val="FloatTok"/>
    <w:basedOn w:val="VerbatimChar"/>
    <w:rPr>
      <w:rFonts w:ascii="Arial" w:hAnsi="Arial" w:eastAsia="Arial"/>
      <w:color w:val="40a070"/>
    </w:rPr>
  </w:style>
  <w:style w:type="character" w:customStyle="1" w:styleId="ConstantTok">
    <w:name w:val="ConstantTok"/>
    <w:basedOn w:val="VerbatimChar"/>
    <w:rPr>
      <w:rFonts w:ascii="Arial" w:hAnsi="Arial" w:eastAsia="Arial"/>
      <w:color w:val="880000"/>
    </w:rPr>
  </w:style>
  <w:style w:type="character" w:customStyle="1" w:styleId="CharTok">
    <w:name w:val="CharTok"/>
    <w:basedOn w:val="VerbatimChar"/>
    <w:rPr>
      <w:rFonts w:ascii="Arial" w:hAnsi="Arial" w:eastAsia="Arial"/>
      <w:color w:val="4070a0"/>
    </w:rPr>
  </w:style>
  <w:style w:type="character" w:customStyle="1" w:styleId="SpecialCharTok">
    <w:name w:val="SpecialCharTok"/>
    <w:basedOn w:val="VerbatimChar"/>
    <w:rPr>
      <w:rFonts w:ascii="Arial" w:hAnsi="Arial" w:eastAsia="Arial"/>
      <w:color w:val="4070a0"/>
    </w:rPr>
  </w:style>
  <w:style w:type="character" w:customStyle="1" w:styleId="StringTok">
    <w:name w:val="StringTok"/>
    <w:basedOn w:val="VerbatimChar"/>
    <w:rPr>
      <w:rFonts w:ascii="Arial" w:hAnsi="Arial" w:eastAsia="Arial"/>
      <w:color w:val="4070a0"/>
    </w:rPr>
  </w:style>
  <w:style w:type="character" w:customStyle="1" w:styleId="VerbatimStringTok">
    <w:name w:val="VerbatimStringTok"/>
    <w:basedOn w:val="VerbatimChar"/>
    <w:rPr>
      <w:rFonts w:ascii="Arial" w:hAnsi="Arial" w:eastAsia="Arial"/>
      <w:color w:val="4070a0"/>
    </w:rPr>
  </w:style>
  <w:style w:type="character" w:customStyle="1" w:styleId="SpecialStringTok">
    <w:name w:val="SpecialStringTok"/>
    <w:basedOn w:val="VerbatimChar"/>
    <w:rPr>
      <w:rFonts w:ascii="Arial" w:hAnsi="Arial" w:eastAsia="Arial"/>
      <w:color w:val="bb6688"/>
    </w:rPr>
  </w:style>
  <w:style w:type="character" w:customStyle="1" w:styleId="ImportTok">
    <w:name w:val="ImportTok"/>
    <w:basedOn w:val="VerbatimChar"/>
    <w:rPr>
      <w:color w:val="008000"/>
      <w:rFonts w:ascii="Arial" w:hAnsi="Arial" w:eastAsia="Arial"/>
      <w:b/>
    </w:rPr>
  </w:style>
  <w:style w:type="character" w:customStyle="1" w:styleId="CommentTok">
    <w:name w:val="CommentTok"/>
    <w:basedOn w:val="VerbatimChar"/>
    <w:rPr>
      <w:color w:val="60a0b0"/>
      <w:rFonts w:ascii="Arial" w:hAnsi="Arial" w:eastAsia="Arial"/>
      <w:i/>
    </w:rPr>
  </w:style>
  <w:style w:type="character" w:customStyle="1" w:styleId="DocumentationTok">
    <w:name w:val="DocumentationTok"/>
    <w:basedOn w:val="VerbatimChar"/>
    <w:rPr>
      <w:color w:val="ba2121"/>
      <w:rFonts w:ascii="Arial" w:hAnsi="Arial" w:eastAsia="Arial"/>
      <w:i/>
    </w:rPr>
  </w:style>
  <w:style w:type="character" w:customStyle="1" w:styleId="AnnotationTok">
    <w:name w:val="AnnotationTok"/>
    <w:basedOn w:val="VerbatimChar"/>
    <w:rPr>
      <w:color w:val="60a0b0"/>
      <w:rFonts w:ascii="Arial" w:hAnsi="Arial" w:eastAsia="Arial"/>
      <w:b/>
      <w:i/>
    </w:rPr>
  </w:style>
  <w:style w:type="character" w:customStyle="1" w:styleId="CommentVarTok">
    <w:name w:val="CommentVarTok"/>
    <w:basedOn w:val="VerbatimChar"/>
    <w:rPr>
      <w:color w:val="60a0b0"/>
      <w:rFonts w:ascii="Arial" w:hAnsi="Arial" w:eastAsia="Arial"/>
      <w:b/>
      <w:i/>
    </w:rPr>
  </w:style>
  <w:style w:type="character" w:customStyle="1" w:styleId="OtherTok">
    <w:name w:val="OtherTok"/>
    <w:basedOn w:val="VerbatimChar"/>
    <w:rPr>
      <w:rFonts w:ascii="Arial" w:hAnsi="Arial" w:eastAsia="Arial"/>
      <w:color w:val="007020"/>
    </w:rPr>
  </w:style>
  <w:style w:type="character" w:customStyle="1" w:styleId="FunctionTok">
    <w:name w:val="FunctionTok"/>
    <w:basedOn w:val="VerbatimChar"/>
    <w:rPr>
      <w:rFonts w:ascii="Arial" w:hAnsi="Arial" w:eastAsia="Arial"/>
      <w:color w:val="06287e"/>
    </w:rPr>
  </w:style>
  <w:style w:type="character" w:customStyle="1" w:styleId="VariableTok">
    <w:name w:val="VariableTok"/>
    <w:basedOn w:val="VerbatimChar"/>
    <w:rPr>
      <w:rFonts w:ascii="Arial" w:hAnsi="Arial" w:eastAsia="Arial"/>
      <w:color w:val="19177c"/>
    </w:rPr>
  </w:style>
  <w:style w:type="character" w:customStyle="1" w:styleId="ControlFlowTok">
    <w:name w:val="ControlFlowTok"/>
    <w:basedOn w:val="VerbatimChar"/>
    <w:rPr>
      <w:color w:val="007020"/>
      <w:rFonts w:ascii="Arial" w:hAnsi="Arial" w:eastAsia="Arial"/>
      <w:b/>
    </w:rPr>
  </w:style>
  <w:style w:type="character" w:customStyle="1" w:styleId="OperatorTok">
    <w:name w:val="OperatorTok"/>
    <w:basedOn w:val="VerbatimChar"/>
    <w:rPr>
      <w:rFonts w:ascii="Arial" w:hAnsi="Arial" w:eastAsia="Arial"/>
      <w:color w:val="666666"/>
    </w:rPr>
  </w:style>
  <w:style w:type="character" w:customStyle="1" w:styleId="BuiltInTok">
    <w:name w:val="BuiltInTok"/>
    <w:basedOn w:val="VerbatimChar"/>
    <w:rPr>
      <w:rFonts w:ascii="Arial" w:hAnsi="Arial" w:eastAsia="Arial"/>
      <w:color w:val="008000"/>
    </w:rPr>
  </w:style>
  <w:style w:type="character" w:customStyle="1" w:styleId="ExtensionTok">
    <w:name w:val="ExtensionTok"/>
    <w:basedOn w:val="VerbatimChar"/>
    <w:rPr>
      <w:rFonts w:ascii="Arial" w:hAnsi="Arial" w:eastAsia="Arial"/>
    </w:rPr>
  </w:style>
  <w:style w:type="character" w:customStyle="1" w:styleId="PreprocessorTok">
    <w:name w:val="PreprocessorTok"/>
    <w:basedOn w:val="VerbatimChar"/>
    <w:rPr>
      <w:rFonts w:ascii="Arial" w:hAnsi="Arial" w:eastAsia="Arial"/>
      <w:color w:val="bc7a00"/>
    </w:rPr>
  </w:style>
  <w:style w:type="character" w:customStyle="1" w:styleId="AttributeTok">
    <w:name w:val="AttributeTok"/>
    <w:basedOn w:val="VerbatimChar"/>
    <w:rPr>
      <w:rFonts w:ascii="Arial" w:hAnsi="Arial" w:eastAsia="Arial"/>
      <w:color w:val="7d9029"/>
    </w:rPr>
  </w:style>
  <w:style w:type="character" w:customStyle="1" w:styleId="RegionMarkerTok">
    <w:name w:val="RegionMarkerTok"/>
    <w:basedOn w:val="VerbatimChar"/>
    <w:rPr>
      <w:rFonts w:ascii="Arial" w:hAnsi="Arial" w:eastAsia="Arial"/>
    </w:rPr>
  </w:style>
  <w:style w:type="character" w:customStyle="1" w:styleId="InformationTok">
    <w:name w:val="InformationTok"/>
    <w:basedOn w:val="VerbatimChar"/>
    <w:rPr>
      <w:color w:val="60a0b0"/>
      <w:rFonts w:ascii="Arial" w:hAnsi="Arial" w:eastAsia="Arial"/>
      <w:b/>
      <w:i/>
    </w:rPr>
  </w:style>
  <w:style w:type="character" w:customStyle="1" w:styleId="WarningTok">
    <w:name w:val="WarningTok"/>
    <w:basedOn w:val="VerbatimChar"/>
    <w:rPr>
      <w:color w:val="60a0b0"/>
      <w:rFonts w:ascii="Arial" w:hAnsi="Arial" w:eastAsia="Arial"/>
      <w:b/>
      <w:i/>
    </w:rPr>
  </w:style>
  <w:style w:type="character" w:customStyle="1" w:styleId="AlertTok">
    <w:name w:val="AlertTok"/>
    <w:basedOn w:val="VerbatimChar"/>
    <w:rPr>
      <w:color w:val="ff0000"/>
      <w:rFonts w:ascii="Arial" w:hAnsi="Arial" w:eastAsia="Arial"/>
      <w:b/>
    </w:rPr>
  </w:style>
  <w:style w:type="character" w:customStyle="1" w:styleId="ErrorTok">
    <w:name w:val="ErrorTok"/>
    <w:basedOn w:val="VerbatimChar"/>
    <w:rPr>
      <w:color w:val="ff0000"/>
      <w:rFonts w:ascii="Arial" w:hAnsi="Arial" w:eastAsia="Arial"/>
      <w:b/>
    </w:rPr>
  </w:style>
  <w:style w:type="character" w:customStyle="1" w:styleId="NormalTok">
    <w:name w:val="NormalTok"/>
    <w:basedOn w:val="VerbatimChar"/>
    <w:rPr>
      <w:rFonts w:ascii="Arial" w:hAnsi="Arial" w:eastAsia="Arial"/>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hyperlink" Target="https://bajwacpa.com/contact/" TargetMode="External"/><Relationship Id="rId25" Type="http://schemas.openxmlformats.org/officeDocument/2006/relationships/hyperlink" Target="https://bajwacpa.com/service/bookkeeping/" TargetMode="External"/><Relationship Id="rId31" Type="http://schemas.openxmlformats.org/officeDocument/2006/relationships/hyperlink" Target="https://bajwacpa.com/service/budgeting-forecasting/" TargetMode="External"/><Relationship Id="rId33" Type="http://schemas.openxmlformats.org/officeDocument/2006/relationships/hyperlink" Target="https://bajwacpa.com/service/business-consulting/" TargetMode="External"/><Relationship Id="rId20" Type="http://schemas.openxmlformats.org/officeDocument/2006/relationships/hyperlink" Target="https://bajwacpa.com/service/corporate-tax-return/" TargetMode="External"/><Relationship Id="rId29" Type="http://schemas.openxmlformats.org/officeDocument/2006/relationships/hyperlink" Target="https://bajwacpa.com/service/real-estate-tax-returns/" TargetMode="External"/><Relationship Id="rId32" Type="http://schemas.openxmlformats.org/officeDocument/2006/relationships/hyperlink" Target="https://bajwacpa.com/service/tax-planning/" TargetMode="External"/></Relationships>
</file>

<file path=word/_rels/footnotes.xml.rels><?xml version='1.0' encoding='UTF-8' standalone='yes'?>
<Relationships xmlns="http://schemas.openxmlformats.org/package/2006/relationships"><Relationship Id="rId21" Type="http://schemas.openxmlformats.org/officeDocument/2006/relationships/hyperlink" Target="https://bajwacpa.com/contact/" TargetMode="External"/><Relationship Id="rId25" Type="http://schemas.openxmlformats.org/officeDocument/2006/relationships/hyperlink" Target="https://bajwacpa.com/service/bookkeeping/" TargetMode="External"/><Relationship Id="rId31" Type="http://schemas.openxmlformats.org/officeDocument/2006/relationships/hyperlink" Target="https://bajwacpa.com/service/budgeting-forecasting/" TargetMode="External"/><Relationship Id="rId33" Type="http://schemas.openxmlformats.org/officeDocument/2006/relationships/hyperlink" Target="https://bajwacpa.com/service/business-consulting/" TargetMode="External"/><Relationship Id="rId20" Type="http://schemas.openxmlformats.org/officeDocument/2006/relationships/hyperlink" Target="https://bajwacpa.com/service/corporate-tax-return/" TargetMode="External"/><Relationship Id="rId29" Type="http://schemas.openxmlformats.org/officeDocument/2006/relationships/hyperlink" Target="https://bajwacpa.com/service/real-estate-tax-returns/" TargetMode="External"/><Relationship Id="rId32" Type="http://schemas.openxmlformats.org/officeDocument/2006/relationships/hyperlink" Target="https://bajwacpa.com/service/tax-plan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2026-10-05T10:31:00Z</dcterms:created>
  <dcterms:modified xsi:type="dcterms:W3CDTF">2026-10-05T10:31:00Z</dcterms:modified>
</cp:coreProperties>
</file>

<file path=docProps/custom.xml><?xml version="1.0" encoding="utf-8"?>
<Properties xmlns="http://schemas.openxmlformats.org/officeDocument/2006/custom-properties" xmlns:vt="http://schemas.openxmlformats.org/officeDocument/2006/docPropsVTypes"/>
</file>