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hd w:val="clear" w:color="auto" w:fill="1F3A5F"/>
      </w:pPr>
      <w:r>
        <w:rPr>
          <w:bCs/>
          <w:b/>
          <w:color w:val="FFFFFF"/>
          <w:sz w:val="28"/>
        </w:rPr>
        <w:t xml:space="preserve">SERVICE PAGE 10: REAL ESTATE TAX RETURN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Service name</w:t>
            </w:r>
          </w:p>
        </w:tc>
        <w:tc>
          <w:tcPr/>
          <w:p>
            <w:pPr>
              <w:pStyle w:val="Compact"/>
              <w:jc w:val="left"/>
            </w:pPr>
            <w:r>
              <w:t xml:space="preserve">Real Estate Tax Return</w:t>
            </w:r>
          </w:p>
        </w:tc>
      </w:tr>
      <w:tr>
        <w:tc>
          <w:tcPr/>
          <w:p>
            <w:pPr>
              <w:pStyle w:val="Compact"/>
              <w:jc w:val="left"/>
            </w:pPr>
            <w:r>
              <w:t xml:space="preserve">Correct URL</w:t>
            </w:r>
          </w:p>
        </w:tc>
        <w:tc>
          <w:tcPr/>
          <w:p>
            <w:pPr>
              <w:pStyle w:val="Compact"/>
              <w:jc w:val="left"/>
            </w:pPr>
            <w:r>
              <w:t xml:space="preserve">https://bajwacpa.com/service/real-estate-tax-returns/</w:t>
            </w:r>
          </w:p>
        </w:tc>
      </w:tr>
      <w:tr>
        <w:tc>
          <w:tcPr/>
          <w:p>
            <w:pPr>
              <w:pStyle w:val="Compact"/>
              <w:jc w:val="left"/>
            </w:pPr>
            <w:r>
              <w:t xml:space="preserve">Old URL (301 redirect to correct URL)</w:t>
            </w:r>
          </w:p>
        </w:tc>
        <w:tc>
          <w:tcPr/>
          <w:p>
            <w:pPr>
              <w:pStyle w:val="Compact"/>
              <w:jc w:val="left"/>
            </w:pPr>
            <w:r>
              <w:t xml:space="preserve">None (URL already correct)</w:t>
            </w:r>
          </w:p>
        </w:tc>
      </w:tr>
      <w:tr>
        <w:tc>
          <w:tcPr/>
          <w:p>
            <w:pPr>
              <w:pStyle w:val="Compact"/>
              <w:jc w:val="left"/>
            </w:pPr>
            <w:r>
              <w:t xml:space="preserve">Meta title (49 characters)</w:t>
            </w:r>
          </w:p>
        </w:tc>
        <w:tc>
          <w:tcPr/>
          <w:p>
            <w:pPr>
              <w:pStyle w:val="Compact"/>
              <w:jc w:val="left"/>
            </w:pPr>
            <w:r>
              <w:t xml:space="preserve">Real Estate Tax Returns Brampton | Rental &amp; Sales</w:t>
            </w:r>
          </w:p>
        </w:tc>
      </w:tr>
      <w:tr>
        <w:tc>
          <w:tcPr/>
          <w:p>
            <w:pPr>
              <w:pStyle w:val="Compact"/>
              <w:jc w:val="left"/>
            </w:pPr>
            <w:r>
              <w:t xml:space="preserve">Meta description (150 characters)</w:t>
            </w:r>
          </w:p>
        </w:tc>
        <w:tc>
          <w:tcPr/>
          <w:p>
            <w:pPr>
              <w:pStyle w:val="Compact"/>
              <w:jc w:val="left"/>
            </w:pPr>
            <w:r>
              <w:t xml:space="preserve">Rental income, a flip or a property sale? Brampton &amp; Mississauga CPAs prepare T776 and capital gains schedules and cut your tax. Book a consult today.</w:t>
            </w:r>
          </w:p>
        </w:tc>
      </w:tr>
      <w:tr>
        <w:tc>
          <w:tcPr/>
          <w:p>
            <w:pPr>
              <w:pStyle w:val="Compact"/>
              <w:jc w:val="left"/>
            </w:pPr>
            <w:r>
              <w:t xml:space="preserve">Focus keywords</w:t>
            </w:r>
          </w:p>
        </w:tc>
        <w:tc>
          <w:tcPr/>
          <w:p>
            <w:pPr>
              <w:pStyle w:val="Compact"/>
              <w:jc w:val="left"/>
            </w:pPr>
            <w:r>
              <w:t xml:space="preserve">real estate tax accountant Brampton, rental income tax return Mississauga, property sale tax Ontario</w:t>
            </w:r>
          </w:p>
        </w:tc>
      </w:tr>
    </w:tbl>
    <w:p>
      <w:r>
        <w:pict>
          <v:rect style="width:0;height:1.5pt" o:hralign="center" o:hrstd="t" o:hr="t"/>
        </w:pict>
      </w:r>
    </w:p>
    <w:bookmarkStart w:id="49" w:name="X665efa863e9159e0a934de1e9ae69b2b08a17ad"/>
    <w:p>
      <w:pPr>
        <w:pStyle w:val="Heading1"/>
      </w:pPr>
      <w:r>
        <w:t xml:space="preserve">Real Estate Tax Return Services in Brampton, Mississauga &amp; Across Ontario</w:t>
      </w:r>
    </w:p>
    <w:p>
      <w:pPr>
        <w:pStyle w:val="FirstParagraph"/>
      </w:pPr>
      <w:r>
        <w:t xml:space="preserve">Whether you invest in real estate to earn rental income or buy and sell property for profit, Bajwa CPA Professional Corporation can file your real estate tax returns efficiently and help you save with tax minimization strategies. Real estate can be owned in two ways: individually or through a corporation. We are well experienced in both situations.</w:t>
      </w:r>
    </w:p>
    <w:p>
      <w:pPr>
        <w:pStyle w:val="BodyText"/>
      </w:pPr>
      <w:r>
        <w:t xml:space="preserve">We work with landlords, investors and property owners in Brampton, Mississauga and across the Greater Toronto Area, one of Canada’s most active property markets. Every return is prepared and reviewed by a licensed CPA, you get a fixed quote before work begins, and we support you all year.</w:t>
      </w:r>
    </w:p>
    <w:bookmarkStart w:id="21" w:name="why-real-estate-investors-need-a-cpa"/>
    <w:p>
      <w:pPr>
        <w:pStyle w:val="Heading2"/>
      </w:pPr>
      <w:r>
        <w:t xml:space="preserve">Why Real Estate Investors Need a CPA</w:t>
      </w:r>
    </w:p>
    <w:p>
      <w:pPr>
        <w:pStyle w:val="FirstParagraph"/>
      </w:pPr>
      <w:r>
        <w:t xml:space="preserve">There are many situations and ever-changing tax laws when it comes to real estate investing. The real estate industry is under constant scrutiny by CRA, so to save tax on real estate income it is very important to work with experienced tax professionals.</w:t>
      </w:r>
    </w:p>
    <w:p>
      <w:pPr>
        <w:pStyle w:val="BodyText"/>
      </w:pPr>
      <w:r>
        <w:t xml:space="preserve">Common mistakes include claiming capital expenses as repairs, missing allowable expenses, reporting a sale the wrong way or forgetting to report a sale at all. These errors can lead to reassessments, penalties and interest. A CPA helps you claim everything you are entitled to while staying compliant.</w:t>
      </w:r>
    </w:p>
    <w:p>
      <w:pPr>
        <w:pStyle w:val="BlockText"/>
        <w:shd w:val="clear" w:color="auto" w:fill="E8F1FB"/>
      </w:pPr>
      <w:r>
        <w:rPr>
          <w:bCs/>
          <w:b/>
        </w:rPr>
        <w:t xml:space="preserve">[CTA BOX]</w:t>
      </w:r>
      <w:r>
        <w:t xml:space="preserve"> </w:t>
      </w:r>
      <w:r>
        <w:t xml:space="preserve">Own a rental or sold a property this year? Make sure CRA sees it the right way.</w:t>
      </w:r>
    </w:p>
    <w:p>
      <w:pPr>
        <w:pStyle w:val="BlockText"/>
        <w:shd w:val="clear" w:color="auto" w:fill="E8F1FB"/>
      </w:pPr>
      <w:r>
        <w:t xml:space="preserve">Buttons:</w:t>
      </w:r>
      <w:r>
        <w:t xml:space="preserve"> </w:t>
      </w:r>
      <w:r>
        <w:rPr>
          <w:bCs/>
          <w:b/>
        </w:rPr>
        <w:t xml:space="preserve">Call 416-907-0568</w:t>
      </w:r>
      <w:r>
        <w:t xml:space="preserve"> </w:t>
      </w:r>
      <w:r>
        <w:t xml:space="preserve">|</w:t>
      </w:r>
      <w:r>
        <w:t xml:space="preserve"> </w:t>
      </w:r>
      <w:hyperlink r:id="rId20">
        <w:r>
          <w:rPr>
            <w:rStyle w:val="Hyperlink"/>
            <w:bCs/>
            <w:b/>
          </w:rPr>
          <w:t xml:space="preserve">Get My Fixed Quote</w:t>
        </w:r>
      </w:hyperlink>
    </w:p>
    <w:bookmarkEnd w:id="21"/>
    <w:bookmarkStart w:id="27" w:name="X5f1ed6d0adb07ca6d1104e6ef45ee661305339c"/>
    <w:p>
      <w:pPr>
        <w:pStyle w:val="Heading2"/>
      </w:pPr>
      <w:r>
        <w:t xml:space="preserve">Let Us Prepare Your Real Estate Tax Return</w:t>
      </w:r>
    </w:p>
    <w:bookmarkStart w:id="22" w:name="statement-of-rental-income-t776"/>
    <w:p>
      <w:pPr>
        <w:pStyle w:val="Heading3"/>
      </w:pPr>
      <w:r>
        <w:t xml:space="preserve">Statement of Rental Income (T776)</w:t>
      </w:r>
    </w:p>
    <w:p>
      <w:pPr>
        <w:pStyle w:val="FirstParagraph"/>
      </w:pPr>
      <w:r>
        <w:t xml:space="preserve">We prepare your T776 to report rental income and expenses, such as mortgage interest, property tax, insurance, utilities, repairs, maintenance and management fees. We also review capital cost allowance (depreciation) and whether claiming it makes sense for you.</w:t>
      </w:r>
    </w:p>
    <w:bookmarkEnd w:id="22"/>
    <w:bookmarkStart w:id="23" w:name="X66a9def1fb31292eaf8782b912acdca08180ca2"/>
    <w:p>
      <w:pPr>
        <w:pStyle w:val="Heading3"/>
      </w:pPr>
      <w:r>
        <w:t xml:space="preserve">Capital Gains Schedules for Properties Sold</w:t>
      </w:r>
    </w:p>
    <w:p>
      <w:pPr>
        <w:pStyle w:val="FirstParagraph"/>
      </w:pPr>
      <w:r>
        <w:t xml:space="preserve">When you sell an investment property, we prepare the capital gains schedules and calculate the adjusted cost base, including eligible improvements and selling costs.</w:t>
      </w:r>
    </w:p>
    <w:bookmarkEnd w:id="23"/>
    <w:bookmarkStart w:id="24" w:name="property-flipping-and-short-term-sales"/>
    <w:p>
      <w:pPr>
        <w:pStyle w:val="Heading3"/>
      </w:pPr>
      <w:r>
        <w:t xml:space="preserve">Property Flipping and Short-Term Sales</w:t>
      </w:r>
    </w:p>
    <w:p>
      <w:pPr>
        <w:pStyle w:val="FirstParagraph"/>
      </w:pPr>
      <w:r>
        <w:t xml:space="preserve">If you buy and sell real estate frequently, profits may be taxed as business income rather than capital gains. Residential property held for less than 12 months is generally treated as business income under the property flipping rules, with some life-event exceptions. We review your sales and report them correctly.</w:t>
      </w:r>
    </w:p>
    <w:bookmarkEnd w:id="24"/>
    <w:bookmarkStart w:id="25" w:name="principal-residence-sales"/>
    <w:p>
      <w:pPr>
        <w:pStyle w:val="Heading3"/>
      </w:pPr>
      <w:r>
        <w:t xml:space="preserve">Principal Residence Sales</w:t>
      </w:r>
    </w:p>
    <w:p>
      <w:pPr>
        <w:pStyle w:val="FirstParagraph"/>
      </w:pPr>
      <w:r>
        <w:t xml:space="preserve">When you sell your home, the sale must still be reported, along with the principal residence designation. We make sure it is reported properly so you keep the exemption you are entitled to.</w:t>
      </w:r>
    </w:p>
    <w:bookmarkEnd w:id="25"/>
    <w:bookmarkStart w:id="26" w:name="Xa8791b36a826f15bcd5b1376b46545633171e18"/>
    <w:p>
      <w:pPr>
        <w:pStyle w:val="Heading3"/>
      </w:pPr>
      <w:r>
        <w:t xml:space="preserve">GST/HST New Residential Rental Property Rebate</w:t>
      </w:r>
    </w:p>
    <w:p>
      <w:pPr>
        <w:pStyle w:val="FirstParagraph"/>
      </w:pPr>
      <w:r>
        <w:t xml:space="preserve">If you bought a newly built home or condo to rent out, you may qualify for the GST/HST new residential rental property rebate. We help you check eligibility and file the application.</w:t>
      </w:r>
    </w:p>
    <w:p>
      <w:pPr>
        <w:pStyle w:val="BlockText"/>
        <w:shd w:val="clear" w:color="auto" w:fill="E8F1FB"/>
      </w:pPr>
      <w:r>
        <w:rPr>
          <w:bCs/>
          <w:b/>
        </w:rPr>
        <w:t xml:space="preserve">[CTA BOX]</w:t>
      </w:r>
      <w:r>
        <w:t xml:space="preserve"> </w:t>
      </w:r>
      <w:r>
        <w:t xml:space="preserve">Rental, flip or home sale? One CPA team can handle all your property reporting.</w:t>
      </w:r>
    </w:p>
    <w:p>
      <w:pPr>
        <w:pStyle w:val="BlockText"/>
        <w:shd w:val="clear" w:color="auto" w:fill="E8F1FB"/>
      </w:pPr>
      <w:r>
        <w:t xml:space="preserve">Buttons:</w:t>
      </w:r>
      <w:r>
        <w:t xml:space="preserve"> </w:t>
      </w:r>
      <w:hyperlink r:id="rId20">
        <w:r>
          <w:rPr>
            <w:rStyle w:val="Hyperlink"/>
            <w:bCs/>
            <w:b/>
          </w:rPr>
          <w:t xml:space="preserve">Book a Consultation</w:t>
        </w:r>
      </w:hyperlink>
      <w:r>
        <w:t xml:space="preserve"> </w:t>
      </w:r>
      <w:r>
        <w:t xml:space="preserve">|</w:t>
      </w:r>
      <w:r>
        <w:t xml:space="preserve"> </w:t>
      </w:r>
      <w:r>
        <w:rPr>
          <w:bCs/>
          <w:b/>
        </w:rPr>
        <w:t xml:space="preserve">Call 416-907-0568</w:t>
      </w:r>
    </w:p>
    <w:bookmarkEnd w:id="26"/>
    <w:bookmarkEnd w:id="27"/>
    <w:bookmarkStart w:id="32" w:name="X5b274e814e04d06df120b2f8918432659ca3753"/>
    <w:p>
      <w:pPr>
        <w:pStyle w:val="Heading2"/>
      </w:pPr>
      <w:r>
        <w:t xml:space="preserve">Owning Property Personally or Through a Corporation</w:t>
      </w:r>
    </w:p>
    <w:p>
      <w:pPr>
        <w:pStyle w:val="FirstParagraph"/>
      </w:pPr>
      <w:r>
        <w:t xml:space="preserve">Some investors hold property in their own name, while others use a corporation. Each option has different tax rates, costs and filing requirements.</w:t>
      </w:r>
    </w:p>
    <w:p>
      <w:pPr>
        <w:numPr>
          <w:ilvl w:val="0"/>
          <w:numId w:val="1001"/>
        </w:numPr>
        <w:pStyle w:val="Compact"/>
      </w:pPr>
      <w:r>
        <w:rPr>
          <w:bCs/>
          <w:b/>
        </w:rPr>
        <w:t xml:space="preserve">Owned personally:</w:t>
      </w:r>
      <w:r>
        <w:t xml:space="preserve"> </w:t>
      </w:r>
      <w:r>
        <w:t xml:space="preserve">rental income and gains are reported on your</w:t>
      </w:r>
      <w:r>
        <w:t xml:space="preserve"> </w:t>
      </w:r>
      <w:hyperlink r:id="rId28">
        <w:r>
          <w:rPr>
            <w:rStyle w:val="Hyperlink"/>
          </w:rPr>
          <w:t xml:space="preserve">personal tax return</w:t>
        </w:r>
      </w:hyperlink>
      <w:r>
        <w:t xml:space="preserve">.</w:t>
      </w:r>
    </w:p>
    <w:p>
      <w:pPr>
        <w:numPr>
          <w:ilvl w:val="0"/>
          <w:numId w:val="1001"/>
        </w:numPr>
        <w:pStyle w:val="Compact"/>
      </w:pPr>
      <w:r>
        <w:rPr>
          <w:bCs/>
          <w:b/>
        </w:rPr>
        <w:t xml:space="preserve">Owned through a corporation:</w:t>
      </w:r>
      <w:r>
        <w:t xml:space="preserve"> </w:t>
      </w:r>
      <w:r>
        <w:t xml:space="preserve">income is reported on the</w:t>
      </w:r>
      <w:r>
        <w:t xml:space="preserve"> </w:t>
      </w:r>
      <w:hyperlink r:id="rId29">
        <w:r>
          <w:rPr>
            <w:rStyle w:val="Hyperlink"/>
          </w:rPr>
          <w:t xml:space="preserve">corporate tax return</w:t>
        </w:r>
      </w:hyperlink>
      <w:r>
        <w:t xml:space="preserve">, and the corporation needs year-end</w:t>
      </w:r>
      <w:r>
        <w:t xml:space="preserve"> </w:t>
      </w:r>
      <w:hyperlink r:id="rId30">
        <w:r>
          <w:rPr>
            <w:rStyle w:val="Hyperlink"/>
          </w:rPr>
          <w:t xml:space="preserve">financial statements</w:t>
        </w:r>
      </w:hyperlink>
      <w:r>
        <w:t xml:space="preserve">.</w:t>
      </w:r>
    </w:p>
    <w:p>
      <w:pPr>
        <w:pStyle w:val="FirstParagraph"/>
      </w:pPr>
      <w:r>
        <w:t xml:space="preserve">We explain the trade-offs for your situation and help you choose. If you plan to set up a holding company, our</w:t>
      </w:r>
      <w:r>
        <w:t xml:space="preserve"> </w:t>
      </w:r>
      <w:hyperlink r:id="rId31">
        <w:r>
          <w:rPr>
            <w:rStyle w:val="Hyperlink"/>
          </w:rPr>
          <w:t xml:space="preserve">incorporation and business registration services</w:t>
        </w:r>
      </w:hyperlink>
      <w:r>
        <w:t xml:space="preserve"> </w:t>
      </w:r>
      <w:r>
        <w:t xml:space="preserve">can help.</w:t>
      </w:r>
    </w:p>
    <w:bookmarkEnd w:id="32"/>
    <w:bookmarkStart w:id="35" w:name="from-filing-to-planning"/>
    <w:p>
      <w:pPr>
        <w:pStyle w:val="Heading2"/>
      </w:pPr>
      <w:r>
        <w:t xml:space="preserve">From Filing to Planning</w:t>
      </w:r>
    </w:p>
    <w:p>
      <w:pPr>
        <w:pStyle w:val="FirstParagraph"/>
      </w:pPr>
      <w:r>
        <w:t xml:space="preserve">Let us take care of all your real estate matters, from filing taxes to preparing financial statements and planning ahead. Our</w:t>
      </w:r>
      <w:r>
        <w:t xml:space="preserve"> </w:t>
      </w:r>
      <w:hyperlink r:id="rId33">
        <w:r>
          <w:rPr>
            <w:rStyle w:val="Hyperlink"/>
          </w:rPr>
          <w:t xml:space="preserve">real estate tax planning</w:t>
        </w:r>
      </w:hyperlink>
      <w:r>
        <w:t xml:space="preserve"> </w:t>
      </w:r>
      <w:r>
        <w:t xml:space="preserve">covers the timing of sales, ownership structure and how to reduce tax on future gains. Investors with many units can also keep their records current with our</w:t>
      </w:r>
      <w:r>
        <w:t xml:space="preserve"> </w:t>
      </w:r>
      <w:hyperlink r:id="rId34">
        <w:r>
          <w:rPr>
            <w:rStyle w:val="Hyperlink"/>
          </w:rPr>
          <w:t xml:space="preserve">bookkeeping services</w:t>
        </w:r>
      </w:hyperlink>
      <w:r>
        <w:t xml:space="preserve">.</w:t>
      </w:r>
    </w:p>
    <w:bookmarkEnd w:id="35"/>
    <w:bookmarkStart w:id="37" w:name="who-we-help"/>
    <w:p>
      <w:pPr>
        <w:pStyle w:val="Heading2"/>
      </w:pPr>
      <w:r>
        <w:t xml:space="preserve">Who We Help</w:t>
      </w:r>
    </w:p>
    <w:p>
      <w:pPr>
        <w:numPr>
          <w:ilvl w:val="0"/>
          <w:numId w:val="1002"/>
        </w:numPr>
        <w:pStyle w:val="Compact"/>
      </w:pPr>
      <w:r>
        <w:t xml:space="preserve">Landlords with a basement unit, condo or house</w:t>
      </w:r>
    </w:p>
    <w:p>
      <w:pPr>
        <w:numPr>
          <w:ilvl w:val="0"/>
          <w:numId w:val="1002"/>
        </w:numPr>
        <w:pStyle w:val="Compact"/>
      </w:pPr>
      <w:r>
        <w:t xml:space="preserve">Investors with several rental properties</w:t>
      </w:r>
    </w:p>
    <w:p>
      <w:pPr>
        <w:numPr>
          <w:ilvl w:val="0"/>
          <w:numId w:val="1002"/>
        </w:numPr>
        <w:pStyle w:val="Compact"/>
      </w:pPr>
      <w:r>
        <w:t xml:space="preserve">Owners who sold an investment property or a home</w:t>
      </w:r>
    </w:p>
    <w:p>
      <w:pPr>
        <w:numPr>
          <w:ilvl w:val="0"/>
          <w:numId w:val="1002"/>
        </w:numPr>
        <w:pStyle w:val="Compact"/>
      </w:pPr>
      <w:r>
        <w:t xml:space="preserve">People who buy, renovate and resell property</w:t>
      </w:r>
    </w:p>
    <w:p>
      <w:pPr>
        <w:numPr>
          <w:ilvl w:val="0"/>
          <w:numId w:val="1002"/>
        </w:numPr>
        <w:pStyle w:val="Compact"/>
      </w:pPr>
      <w:r>
        <w:t xml:space="preserve">Corporations that own real estate</w:t>
      </w:r>
    </w:p>
    <w:p>
      <w:pPr>
        <w:numPr>
          <w:ilvl w:val="0"/>
          <w:numId w:val="1002"/>
        </w:numPr>
        <w:pStyle w:val="Compact"/>
      </w:pPr>
      <w:r>
        <w:t xml:space="preserve">Non-residents who own property in Canada. See our</w:t>
      </w:r>
      <w:r>
        <w:t xml:space="preserve"> </w:t>
      </w:r>
      <w:hyperlink r:id="rId36">
        <w:r>
          <w:rPr>
            <w:rStyle w:val="Hyperlink"/>
          </w:rPr>
          <w:t xml:space="preserve">non-resident tax return services</w:t>
        </w:r>
      </w:hyperlink>
      <w:r>
        <w:t xml:space="preserve">.</w:t>
      </w:r>
    </w:p>
    <w:bookmarkEnd w:id="37"/>
    <w:bookmarkStart w:id="39" w:name="our-process"/>
    <w:p>
      <w:pPr>
        <w:pStyle w:val="Heading2"/>
      </w:pPr>
      <w:r>
        <w:t xml:space="preserve">Our Process</w:t>
      </w:r>
    </w:p>
    <w:p>
      <w:pPr>
        <w:numPr>
          <w:ilvl w:val="0"/>
          <w:numId w:val="1003"/>
        </w:numPr>
        <w:pStyle w:val="Compact"/>
      </w:pPr>
      <w:r>
        <w:rPr>
          <w:bCs/>
          <w:b/>
        </w:rPr>
        <w:t xml:space="preserve">Consultation.</w:t>
      </w:r>
      <w:r>
        <w:t xml:space="preserve"> </w:t>
      </w:r>
      <w:r>
        <w:t xml:space="preserve">We learn about your properties, ownership and any sales.</w:t>
      </w:r>
    </w:p>
    <w:p>
      <w:pPr>
        <w:numPr>
          <w:ilvl w:val="0"/>
          <w:numId w:val="1003"/>
        </w:numPr>
        <w:pStyle w:val="Compact"/>
      </w:pPr>
      <w:r>
        <w:rPr>
          <w:bCs/>
          <w:b/>
        </w:rPr>
        <w:t xml:space="preserve">Fixed quote.</w:t>
      </w:r>
      <w:r>
        <w:t xml:space="preserve"> </w:t>
      </w:r>
      <w:r>
        <w:t xml:space="preserve">You know the full cost before any work begins.</w:t>
      </w:r>
    </w:p>
    <w:p>
      <w:pPr>
        <w:numPr>
          <w:ilvl w:val="0"/>
          <w:numId w:val="1003"/>
        </w:numPr>
        <w:pStyle w:val="Compact"/>
      </w:pPr>
      <w:r>
        <w:rPr>
          <w:bCs/>
          <w:b/>
        </w:rPr>
        <w:t xml:space="preserve">Document collection.</w:t>
      </w:r>
      <w:r>
        <w:t xml:space="preserve"> </w:t>
      </w:r>
      <w:r>
        <w:t xml:space="preserve">We send a checklist of statements, receipts and purchase or sale documents. See our</w:t>
      </w:r>
      <w:r>
        <w:t xml:space="preserve"> </w:t>
      </w:r>
      <w:hyperlink r:id="rId38">
        <w:r>
          <w:rPr>
            <w:rStyle w:val="Hyperlink"/>
          </w:rPr>
          <w:t xml:space="preserve">tax checklists</w:t>
        </w:r>
      </w:hyperlink>
      <w:r>
        <w:t xml:space="preserve">.</w:t>
      </w:r>
    </w:p>
    <w:p>
      <w:pPr>
        <w:numPr>
          <w:ilvl w:val="0"/>
          <w:numId w:val="1003"/>
        </w:numPr>
        <w:pStyle w:val="Compact"/>
      </w:pPr>
      <w:r>
        <w:rPr>
          <w:bCs/>
          <w:b/>
        </w:rPr>
        <w:t xml:space="preserve">Preparation and CPA review.</w:t>
      </w:r>
      <w:r>
        <w:t xml:space="preserve"> </w:t>
      </w:r>
      <w:r>
        <w:t xml:space="preserve">We prepare your T776, capital gains schedules and returns.</w:t>
      </w:r>
    </w:p>
    <w:p>
      <w:pPr>
        <w:numPr>
          <w:ilvl w:val="0"/>
          <w:numId w:val="1003"/>
        </w:numPr>
        <w:pStyle w:val="Compact"/>
      </w:pPr>
      <w:r>
        <w:rPr>
          <w:bCs/>
          <w:b/>
        </w:rPr>
        <w:t xml:space="preserve">Filing.</w:t>
      </w:r>
      <w:r>
        <w:t xml:space="preserve"> </w:t>
      </w:r>
      <w:r>
        <w:t xml:space="preserve">We file with CRA and give you a clear summary.</w:t>
      </w:r>
    </w:p>
    <w:p>
      <w:pPr>
        <w:numPr>
          <w:ilvl w:val="0"/>
          <w:numId w:val="1003"/>
        </w:numPr>
        <w:pStyle w:val="Compact"/>
      </w:pPr>
      <w:r>
        <w:rPr>
          <w:bCs/>
          <w:b/>
        </w:rPr>
        <w:t xml:space="preserve">Planning.</w:t>
      </w:r>
      <w:r>
        <w:t xml:space="preserve"> </w:t>
      </w:r>
      <w:r>
        <w:t xml:space="preserve">We review what you can do differently next year to lower tax.</w:t>
      </w:r>
    </w:p>
    <w:p>
      <w:pPr>
        <w:pStyle w:val="BlockText"/>
        <w:shd w:val="clear" w:color="auto" w:fill="E8F1FB"/>
      </w:pPr>
      <w:r>
        <w:rPr>
          <w:bCs/>
          <w:b/>
        </w:rPr>
        <w:t xml:space="preserve">[CTA BOX]</w:t>
      </w:r>
      <w:r>
        <w:t xml:space="preserve"> </w:t>
      </w:r>
      <w:r>
        <w:t xml:space="preserve">Thinking of buying or selling property? Talk to a CPA before you sign.</w:t>
      </w:r>
    </w:p>
    <w:p>
      <w:pPr>
        <w:pStyle w:val="BlockText"/>
        <w:shd w:val="clear" w:color="auto" w:fill="E8F1FB"/>
      </w:pPr>
      <w:r>
        <w:t xml:space="preserve">Buttons:</w:t>
      </w:r>
      <w:r>
        <w:t xml:space="preserve"> </w:t>
      </w:r>
      <w:hyperlink r:id="rId20">
        <w:r>
          <w:rPr>
            <w:rStyle w:val="Hyperlink"/>
            <w:bCs/>
            <w:b/>
          </w:rPr>
          <w:t xml:space="preserve">Contact Us Today</w:t>
        </w:r>
      </w:hyperlink>
      <w:r>
        <w:t xml:space="preserve"> </w:t>
      </w:r>
      <w:r>
        <w:t xml:space="preserve">|</w:t>
      </w:r>
      <w:r>
        <w:t xml:space="preserve"> </w:t>
      </w:r>
      <w:r>
        <w:rPr>
          <w:bCs/>
          <w:b/>
        </w:rPr>
        <w:t xml:space="preserve">Call 416-907-0568</w:t>
      </w:r>
    </w:p>
    <w:bookmarkEnd w:id="39"/>
    <w:bookmarkStart w:id="40" w:name="repairs-vs.-capital-improvements"/>
    <w:p>
      <w:pPr>
        <w:pStyle w:val="Heading2"/>
      </w:pPr>
      <w:r>
        <w:t xml:space="preserve">Repairs vs. Capital Improvements</w:t>
      </w:r>
    </w:p>
    <w:p>
      <w:pPr>
        <w:pStyle w:val="FirstParagraph"/>
      </w:pPr>
      <w:r>
        <w:t xml:space="preserve">One of the most common real estate tax questions is whether an expense can be deducted right away or must be added to the cost of the property. Day-to-day repairs that restore a property to its original condition, such as fixing a leaking tap or repainting, are usually deductible in the year they are paid. Improvements that make the property better than it was, such as a new roof with better materials, a renovated kitchen or an added unit, are usually capital costs.</w:t>
      </w:r>
    </w:p>
    <w:p>
      <w:pPr>
        <w:pStyle w:val="BodyText"/>
      </w:pPr>
      <w:r>
        <w:t xml:space="preserve">Capital costs are claimed over time through capital cost allowance and also increase the property’s cost when it is sold, which can reduce the capital gain. Getting this classification right matters for both your yearly rental income and your tax when you sell. We review your expenses and record them correctly.</w:t>
      </w:r>
    </w:p>
    <w:bookmarkEnd w:id="40"/>
    <w:bookmarkStart w:id="41" w:name="Xe4f699e370b7eb276e6224620cee6e5b40afe2d"/>
    <w:p>
      <w:pPr>
        <w:pStyle w:val="Heading2"/>
      </w:pPr>
      <w:r>
        <w:t xml:space="preserve">Serving Property Owners Across the GTA and Ontario</w:t>
      </w:r>
    </w:p>
    <w:p>
      <w:pPr>
        <w:pStyle w:val="FirstParagraph"/>
      </w:pPr>
      <w:r>
        <w:t xml:space="preserve">Our office is at 2 County Court Blvd, Suite 400, in Brampton. We serve real estate investors in Brampton, Mississauga, Caledon, Bolton, Georgetown, Milton, Toronto, Etobicoke, Vaughan, Oakville and across Ontario.</w:t>
      </w:r>
    </w:p>
    <w:p>
      <w:pPr>
        <w:pStyle w:val="BodyText"/>
      </w:pPr>
      <w:r>
        <w:t xml:space="preserve">At Bajwa CPA, we take the time to learn about and understand each client’s business or situation to make sure we truly meet their needs and provide outstanding professional service. Our goal is to deliver our services in an easy-to-understand manner that is both timely and reliable.</w:t>
      </w:r>
    </w:p>
    <w:bookmarkEnd w:id="41"/>
    <w:bookmarkStart w:id="47" w:name="frequently-asked-questions"/>
    <w:p>
      <w:pPr>
        <w:pStyle w:val="Heading2"/>
      </w:pPr>
      <w:r>
        <w:t xml:space="preserve">Frequently Asked Questions</w:t>
      </w:r>
    </w:p>
    <w:bookmarkStart w:id="42" w:name="Xa1843816e5ebb0a87334e05a86a302e8a84a22b"/>
    <w:p>
      <w:pPr>
        <w:pStyle w:val="Heading3"/>
      </w:pPr>
      <w:r>
        <w:t xml:space="preserve">What expenses can I claim on a rental property?</w:t>
      </w:r>
    </w:p>
    <w:p>
      <w:pPr>
        <w:pStyle w:val="FirstParagraph"/>
      </w:pPr>
      <w:r>
        <w:t xml:space="preserve">Common expenses include mortgage interest, property tax, insurance, utilities you pay, repairs and maintenance, advertising and management fees. Larger improvements are usually capital costs claimed over time.</w:t>
      </w:r>
    </w:p>
    <w:bookmarkEnd w:id="42"/>
    <w:bookmarkStart w:id="43" w:name="do-i-have-to-report-the-sale-of-my-home"/>
    <w:p>
      <w:pPr>
        <w:pStyle w:val="Heading3"/>
      </w:pPr>
      <w:r>
        <w:t xml:space="preserve">Do I have to report the sale of my home?</w:t>
      </w:r>
    </w:p>
    <w:p>
      <w:pPr>
        <w:pStyle w:val="FirstParagraph"/>
      </w:pPr>
      <w:r>
        <w:t xml:space="preserve">Yes. Even if the sale is fully exempt as your principal residence, it must be reported on your return.</w:t>
      </w:r>
    </w:p>
    <w:bookmarkEnd w:id="43"/>
    <w:bookmarkStart w:id="44" w:name="X7140410a79080d743841756b2ed00a4d0f1b8a6"/>
    <w:p>
      <w:pPr>
        <w:pStyle w:val="Heading3"/>
      </w:pPr>
      <w:r>
        <w:t xml:space="preserve">Is profit from flipping a house a capital gain?</w:t>
      </w:r>
    </w:p>
    <w:p>
      <w:pPr>
        <w:pStyle w:val="FirstParagraph"/>
      </w:pPr>
      <w:r>
        <w:t xml:space="preserve">Usually not. Frequent buying and selling, and most sales of residential property owned for less than 12 months, are generally taxed as business income.</w:t>
      </w:r>
    </w:p>
    <w:bookmarkEnd w:id="44"/>
    <w:bookmarkStart w:id="45" w:name="Xe577ec15b5b8e7157a3351a62dc9eb82bbf8770"/>
    <w:p>
      <w:pPr>
        <w:pStyle w:val="Heading3"/>
      </w:pPr>
      <w:r>
        <w:t xml:space="preserve">Should I hold my rental property in a corporation?</w:t>
      </w:r>
    </w:p>
    <w:p>
      <w:pPr>
        <w:pStyle w:val="FirstParagraph"/>
      </w:pPr>
      <w:r>
        <w:t xml:space="preserve">It depends on your income, the number of properties and your long-term plans. We compare personal and corporate ownership with your numbers.</w:t>
      </w:r>
    </w:p>
    <w:bookmarkEnd w:id="45"/>
    <w:bookmarkStart w:id="46" w:name="X4186e98989cf1b89bb67d11273728881085ac0e"/>
    <w:p>
      <w:pPr>
        <w:pStyle w:val="Heading3"/>
      </w:pPr>
      <w:r>
        <w:t xml:space="preserve">Can I claim the GST/HST rebate on a new rental property?</w:t>
      </w:r>
    </w:p>
    <w:p>
      <w:pPr>
        <w:pStyle w:val="FirstParagraph"/>
      </w:pPr>
      <w:r>
        <w:t xml:space="preserve">You may qualify if you bought a newly built residential property and rent it out on a long-term basis. We check the rules for your property.</w:t>
      </w:r>
    </w:p>
    <w:bookmarkEnd w:id="46"/>
    <w:bookmarkEnd w:id="47"/>
    <w:bookmarkStart w:id="48" w:name="X90c1c52d2bf6d1e81633f70850c753c226a4a80"/>
    <w:p>
      <w:pPr>
        <w:pStyle w:val="Heading2"/>
      </w:pPr>
      <w:r>
        <w:t xml:space="preserve">Get Help With Your Real Estate Tax Return</w:t>
      </w:r>
    </w:p>
    <w:p>
      <w:pPr>
        <w:pStyle w:val="FirstParagraph"/>
      </w:pPr>
      <w:r>
        <w:t xml:space="preserve">Need a real estate tax accountant in Brampton or Mississauga? Call</w:t>
      </w:r>
      <w:r>
        <w:t xml:space="preserve"> </w:t>
      </w:r>
      <w:r>
        <w:rPr>
          <w:bCs/>
          <w:b/>
        </w:rPr>
        <w:t xml:space="preserve">416-907-0568</w:t>
      </w:r>
      <w:r>
        <w:t xml:space="preserve"> </w:t>
      </w:r>
      <w:r>
        <w:t xml:space="preserve">or</w:t>
      </w:r>
      <w:r>
        <w:t xml:space="preserve"> </w:t>
      </w:r>
      <w:hyperlink r:id="rId20">
        <w:r>
          <w:rPr>
            <w:rStyle w:val="Hyperlink"/>
          </w:rPr>
          <w:t xml:space="preserve">contact us today</w:t>
        </w:r>
      </w:hyperlink>
      <w:r>
        <w:t xml:space="preserve"> </w:t>
      </w:r>
      <w:r>
        <w:t xml:space="preserve">to book a consultation about your accounting and tax needs.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2"/>
    </w:rPr>
  </w:style>
  <w:style w:styleId="BodyText" w:type="paragraph">
    <w:name w:val="Body Text"/>
    <w:basedOn w:val="Normal"/>
    <w:link w:val="BodyTextChar"/>
    <w:pPr>
      <w:spacing w:after="180" w:before="180"/>
    </w:pPr>
    <w:qFormat/>
    <w:rPr>
      <w:rFonts w:ascii="Arial" w:hAnsi="Arial" w:eastAsia="Arial"/>
      <w:sz w:val="22"/>
    </w:rPr>
  </w:style>
  <w:style w:customStyle="1" w:styleId="FirstParagraph" w:type="paragraph">
    <w:name w:val="First Paragraph"/>
    <w:basedOn w:val="BodyText"/>
    <w:next w:val="BodyText"/>
    <w:qFormat/>
    <w:rPr>
      <w:rFonts w:ascii="Arial" w:hAnsi="Arial" w:eastAsia="Arial"/>
      <w:sz w:val="22"/>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Arial" w:hAnsi="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Arial" w:hAnsi="Arial" w:eastAsia="Arial"/>
      <w:b/>
      <w:bCs/>
      <w:color w:val="1F3A5F"/>
      <w:sz w:val="40"/>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eastAsia="Arial"/>
      <w:b/>
      <w:bCs/>
      <w:color w:val="1F3A5F"/>
      <w:sz w:val="30"/>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eastAsia="Arial"/>
      <w:b/>
      <w:bCs/>
      <w:color w:val="1F3A5F"/>
      <w:sz w:val="25"/>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rPr>
      <w:rFonts w:ascii="Arial" w:hAnsi="Arial" w:eastAsia="Arial"/>
    </w:rPr>
  </w:style>
  <w:style w:default="1" w:styleId="Table" w:type="table">
    <w:name w:val="Table"/>
    <w:basedOn w:val="TableNormal"/>
    <w:semiHidden/>
    <w:unhideWhenUsed/>
    <w:qFormat/>
    <w:rPr>
      <w:rFonts w:ascii="Arial" w:hAnsi="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rPr>
      <w:rFonts w:ascii="Arial" w:hAnsi="Arial" w:eastAsia="Arial"/>
    </w:rPr>
  </w:style>
  <w:style w:customStyle="1" w:styleId="VerbatimChar" w:type="character">
    <w:name w:val="Verbatim Char"/>
    <w:basedOn w:val="BodyTextChar"/>
    <w:rPr>
      <w:rFonts w:ascii="Arial" w:hAnsi="Arial" w:eastAsia="Arial"/>
      <w:sz w:val="22"/>
    </w:rPr>
  </w:style>
  <w:style w:customStyle="1" w:styleId="SectionNumber" w:type="character">
    <w:name w:val="Section Number"/>
    <w:basedOn w:val="BodyTextChar"/>
    <w:rPr>
      <w:rFonts w:ascii="Arial" w:hAnsi="Arial" w:eastAsia="Arial"/>
    </w:rPr>
  </w:style>
  <w:style w:styleId="FootnoteReference" w:type="character">
    <w:name w:val="Footnote Reference"/>
    <w:basedOn w:val="BodyTextChar"/>
    <w:rPr>
      <w:rFonts w:ascii="Arial" w:hAnsi="Arial" w:eastAsia="Arial"/>
      <w:vertAlign w:val="superscript"/>
    </w:rPr>
  </w:style>
  <w:style w:styleId="Hyperlink" w:type="character">
    <w:name w:val="Hyperlink"/>
    <w:basedOn w:val="BodyTextChar"/>
    <w:rPr>
      <w:rFonts w:ascii="Arial" w:hAnsi="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rFonts w:ascii="Arial" w:hAnsi="Arial" w:eastAsia="Arial"/>
      <w:b/>
    </w:rPr>
  </w:style>
  <w:style w:type="character" w:customStyle="1" w:styleId="DataTypeTok">
    <w:name w:val="DataTypeTok"/>
    <w:basedOn w:val="VerbatimChar"/>
    <w:rPr>
      <w:rFonts w:ascii="Arial" w:hAnsi="Arial" w:eastAsia="Arial"/>
      <w:color w:val="902000"/>
    </w:rPr>
  </w:style>
  <w:style w:type="character" w:customStyle="1" w:styleId="DecValTok">
    <w:name w:val="DecValTok"/>
    <w:basedOn w:val="VerbatimChar"/>
    <w:rPr>
      <w:rFonts w:ascii="Arial" w:hAnsi="Arial" w:eastAsia="Arial"/>
      <w:color w:val="40a070"/>
    </w:rPr>
  </w:style>
  <w:style w:type="character" w:customStyle="1" w:styleId="BaseNTok">
    <w:name w:val="BaseNTok"/>
    <w:basedOn w:val="VerbatimChar"/>
    <w:rPr>
      <w:rFonts w:ascii="Arial" w:hAnsi="Arial" w:eastAsia="Arial"/>
      <w:color w:val="40a070"/>
    </w:rPr>
  </w:style>
  <w:style w:type="character" w:customStyle="1" w:styleId="FloatTok">
    <w:name w:val="FloatTok"/>
    <w:basedOn w:val="VerbatimChar"/>
    <w:rPr>
      <w:rFonts w:ascii="Arial" w:hAnsi="Arial" w:eastAsia="Arial"/>
      <w:color w:val="40a070"/>
    </w:rPr>
  </w:style>
  <w:style w:type="character" w:customStyle="1" w:styleId="ConstantTok">
    <w:name w:val="ConstantTok"/>
    <w:basedOn w:val="VerbatimChar"/>
    <w:rPr>
      <w:rFonts w:ascii="Arial" w:hAnsi="Arial" w:eastAsia="Arial"/>
      <w:color w:val="880000"/>
    </w:rPr>
  </w:style>
  <w:style w:type="character" w:customStyle="1" w:styleId="CharTok">
    <w:name w:val="CharTok"/>
    <w:basedOn w:val="VerbatimChar"/>
    <w:rPr>
      <w:rFonts w:ascii="Arial" w:hAnsi="Arial" w:eastAsia="Arial"/>
      <w:color w:val="4070a0"/>
    </w:rPr>
  </w:style>
  <w:style w:type="character" w:customStyle="1" w:styleId="SpecialCharTok">
    <w:name w:val="SpecialCharTok"/>
    <w:basedOn w:val="VerbatimChar"/>
    <w:rPr>
      <w:rFonts w:ascii="Arial" w:hAnsi="Arial" w:eastAsia="Arial"/>
      <w:color w:val="4070a0"/>
    </w:rPr>
  </w:style>
  <w:style w:type="character" w:customStyle="1" w:styleId="StringTok">
    <w:name w:val="StringTok"/>
    <w:basedOn w:val="VerbatimChar"/>
    <w:rPr>
      <w:rFonts w:ascii="Arial" w:hAnsi="Arial" w:eastAsia="Arial"/>
      <w:color w:val="4070a0"/>
    </w:rPr>
  </w:style>
  <w:style w:type="character" w:customStyle="1" w:styleId="VerbatimStringTok">
    <w:name w:val="VerbatimStringTok"/>
    <w:basedOn w:val="VerbatimChar"/>
    <w:rPr>
      <w:rFonts w:ascii="Arial" w:hAnsi="Arial" w:eastAsia="Arial"/>
      <w:color w:val="4070a0"/>
    </w:rPr>
  </w:style>
  <w:style w:type="character" w:customStyle="1" w:styleId="SpecialStringTok">
    <w:name w:val="SpecialStringTok"/>
    <w:basedOn w:val="VerbatimChar"/>
    <w:rPr>
      <w:rFonts w:ascii="Arial" w:hAnsi="Arial" w:eastAsia="Arial"/>
      <w:color w:val="bb6688"/>
    </w:rPr>
  </w:style>
  <w:style w:type="character" w:customStyle="1" w:styleId="ImportTok">
    <w:name w:val="ImportTok"/>
    <w:basedOn w:val="VerbatimChar"/>
    <w:rPr>
      <w:color w:val="008000"/>
      <w:rFonts w:ascii="Arial" w:hAnsi="Arial" w:eastAsia="Arial"/>
      <w:b/>
    </w:rPr>
  </w:style>
  <w:style w:type="character" w:customStyle="1" w:styleId="CommentTok">
    <w:name w:val="CommentTok"/>
    <w:basedOn w:val="VerbatimChar"/>
    <w:rPr>
      <w:color w:val="60a0b0"/>
      <w:rFonts w:ascii="Arial" w:hAnsi="Arial" w:eastAsia="Arial"/>
      <w:i/>
    </w:rPr>
  </w:style>
  <w:style w:type="character" w:customStyle="1" w:styleId="DocumentationTok">
    <w:name w:val="DocumentationTok"/>
    <w:basedOn w:val="VerbatimChar"/>
    <w:rPr>
      <w:color w:val="ba2121"/>
      <w:rFonts w:ascii="Arial" w:hAnsi="Arial" w:eastAsia="Arial"/>
      <w:i/>
    </w:rPr>
  </w:style>
  <w:style w:type="character" w:customStyle="1" w:styleId="AnnotationTok">
    <w:name w:val="AnnotationTok"/>
    <w:basedOn w:val="VerbatimChar"/>
    <w:rPr>
      <w:color w:val="60a0b0"/>
      <w:rFonts w:ascii="Arial" w:hAnsi="Arial" w:eastAsia="Arial"/>
      <w:b/>
      <w:i/>
    </w:rPr>
  </w:style>
  <w:style w:type="character" w:customStyle="1" w:styleId="CommentVarTok">
    <w:name w:val="CommentVarTok"/>
    <w:basedOn w:val="VerbatimChar"/>
    <w:rPr>
      <w:color w:val="60a0b0"/>
      <w:rFonts w:ascii="Arial" w:hAnsi="Arial" w:eastAsia="Arial"/>
      <w:b/>
      <w:i/>
    </w:rPr>
  </w:style>
  <w:style w:type="character" w:customStyle="1" w:styleId="OtherTok">
    <w:name w:val="OtherTok"/>
    <w:basedOn w:val="VerbatimChar"/>
    <w:rPr>
      <w:rFonts w:ascii="Arial" w:hAnsi="Arial" w:eastAsia="Arial"/>
      <w:color w:val="007020"/>
    </w:rPr>
  </w:style>
  <w:style w:type="character" w:customStyle="1" w:styleId="FunctionTok">
    <w:name w:val="FunctionTok"/>
    <w:basedOn w:val="VerbatimChar"/>
    <w:rPr>
      <w:rFonts w:ascii="Arial" w:hAnsi="Arial" w:eastAsia="Arial"/>
      <w:color w:val="06287e"/>
    </w:rPr>
  </w:style>
  <w:style w:type="character" w:customStyle="1" w:styleId="VariableTok">
    <w:name w:val="VariableTok"/>
    <w:basedOn w:val="VerbatimChar"/>
    <w:rPr>
      <w:rFonts w:ascii="Arial" w:hAnsi="Arial" w:eastAsia="Arial"/>
      <w:color w:val="19177c"/>
    </w:rPr>
  </w:style>
  <w:style w:type="character" w:customStyle="1" w:styleId="ControlFlowTok">
    <w:name w:val="ControlFlowTok"/>
    <w:basedOn w:val="VerbatimChar"/>
    <w:rPr>
      <w:color w:val="007020"/>
      <w:rFonts w:ascii="Arial" w:hAnsi="Arial" w:eastAsia="Arial"/>
      <w:b/>
    </w:rPr>
  </w:style>
  <w:style w:type="character" w:customStyle="1" w:styleId="OperatorTok">
    <w:name w:val="OperatorTok"/>
    <w:basedOn w:val="VerbatimChar"/>
    <w:rPr>
      <w:rFonts w:ascii="Arial" w:hAnsi="Arial" w:eastAsia="Arial"/>
      <w:color w:val="666666"/>
    </w:rPr>
  </w:style>
  <w:style w:type="character" w:customStyle="1" w:styleId="BuiltInTok">
    <w:name w:val="BuiltInTok"/>
    <w:basedOn w:val="VerbatimChar"/>
    <w:rPr>
      <w:rFonts w:ascii="Arial" w:hAnsi="Arial" w:eastAsia="Arial"/>
      <w:color w:val="008000"/>
    </w:rPr>
  </w:style>
  <w:style w:type="character" w:customStyle="1" w:styleId="ExtensionTok">
    <w:name w:val="ExtensionTok"/>
    <w:basedOn w:val="VerbatimChar"/>
    <w:rPr>
      <w:rFonts w:ascii="Arial" w:hAnsi="Arial" w:eastAsia="Arial"/>
    </w:rPr>
  </w:style>
  <w:style w:type="character" w:customStyle="1" w:styleId="PreprocessorTok">
    <w:name w:val="PreprocessorTok"/>
    <w:basedOn w:val="VerbatimChar"/>
    <w:rPr>
      <w:rFonts w:ascii="Arial" w:hAnsi="Arial" w:eastAsia="Arial"/>
      <w:color w:val="bc7a00"/>
    </w:rPr>
  </w:style>
  <w:style w:type="character" w:customStyle="1" w:styleId="AttributeTok">
    <w:name w:val="AttributeTok"/>
    <w:basedOn w:val="VerbatimChar"/>
    <w:rPr>
      <w:rFonts w:ascii="Arial" w:hAnsi="Arial" w:eastAsia="Arial"/>
      <w:color w:val="7d9029"/>
    </w:rPr>
  </w:style>
  <w:style w:type="character" w:customStyle="1" w:styleId="RegionMarkerTok">
    <w:name w:val="RegionMarkerTok"/>
    <w:basedOn w:val="VerbatimChar"/>
    <w:rPr>
      <w:rFonts w:ascii="Arial" w:hAnsi="Arial" w:eastAsia="Arial"/>
    </w:rPr>
  </w:style>
  <w:style w:type="character" w:customStyle="1" w:styleId="InformationTok">
    <w:name w:val="InformationTok"/>
    <w:basedOn w:val="VerbatimChar"/>
    <w:rPr>
      <w:color w:val="60a0b0"/>
      <w:rFonts w:ascii="Arial" w:hAnsi="Arial" w:eastAsia="Arial"/>
      <w:b/>
      <w:i/>
    </w:rPr>
  </w:style>
  <w:style w:type="character" w:customStyle="1" w:styleId="WarningTok">
    <w:name w:val="WarningTok"/>
    <w:basedOn w:val="VerbatimChar"/>
    <w:rPr>
      <w:color w:val="60a0b0"/>
      <w:rFonts w:ascii="Arial" w:hAnsi="Arial" w:eastAsia="Arial"/>
      <w:b/>
      <w:i/>
    </w:rPr>
  </w:style>
  <w:style w:type="character" w:customStyle="1" w:styleId="AlertTok">
    <w:name w:val="AlertTok"/>
    <w:basedOn w:val="VerbatimChar"/>
    <w:rPr>
      <w:color w:val="ff0000"/>
      <w:rFonts w:ascii="Arial" w:hAnsi="Arial" w:eastAsia="Arial"/>
      <w:b/>
    </w:rPr>
  </w:style>
  <w:style w:type="character" w:customStyle="1" w:styleId="ErrorTok">
    <w:name w:val="ErrorTok"/>
    <w:basedOn w:val="VerbatimChar"/>
    <w:rPr>
      <w:color w:val="ff0000"/>
      <w:rFonts w:ascii="Arial" w:hAnsi="Arial" w:eastAsia="Arial"/>
      <w:b/>
    </w:rPr>
  </w:style>
  <w:style w:type="character" w:customStyle="1" w:styleId="NormalTok">
    <w:name w:val="NormalTok"/>
    <w:basedOn w:val="VerbatimChar"/>
    <w:rPr>
      <w:rFonts w:ascii="Arial" w:hAnsi="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bajwacpa.com/contact/" TargetMode="External"/><Relationship Id="rId34" Type="http://schemas.openxmlformats.org/officeDocument/2006/relationships/hyperlink" Target="https://bajwacpa.com/service/bookkeeping/" TargetMode="External"/><Relationship Id="rId29" Type="http://schemas.openxmlformats.org/officeDocument/2006/relationships/hyperlink" Target="https://bajwacpa.com/service/corporate-tax-return/" TargetMode="External"/><Relationship Id="rId30" Type="http://schemas.openxmlformats.org/officeDocument/2006/relationships/hyperlink" Target="https://bajwacpa.com/service/financial-statements/" TargetMode="External"/><Relationship Id="rId31" Type="http://schemas.openxmlformats.org/officeDocument/2006/relationships/hyperlink" Target="https://bajwacpa.com/service/incorporation-business-registration/" TargetMode="External"/><Relationship Id="rId36" Type="http://schemas.openxmlformats.org/officeDocument/2006/relationships/hyperlink" Target="https://bajwacpa.com/service/non-resident-tax-returns/" TargetMode="External"/><Relationship Id="rId28" Type="http://schemas.openxmlformats.org/officeDocument/2006/relationships/hyperlink" Target="https://bajwacpa.com/service/personal-tax-return/" TargetMode="External"/><Relationship Id="rId33" Type="http://schemas.openxmlformats.org/officeDocument/2006/relationships/hyperlink" Target="https://bajwacpa.com/service/tax-planning/" TargetMode="External"/><Relationship Id="rId38" Type="http://schemas.openxmlformats.org/officeDocument/2006/relationships/hyperlink" Target="https://bajwacpa.com/tax-checklists/"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bajwacpa.com/contact/" TargetMode="External"/><Relationship Id="rId34" Type="http://schemas.openxmlformats.org/officeDocument/2006/relationships/hyperlink" Target="https://bajwacpa.com/service/bookkeeping/" TargetMode="External"/><Relationship Id="rId29" Type="http://schemas.openxmlformats.org/officeDocument/2006/relationships/hyperlink" Target="https://bajwacpa.com/service/corporate-tax-return/" TargetMode="External"/><Relationship Id="rId30" Type="http://schemas.openxmlformats.org/officeDocument/2006/relationships/hyperlink" Target="https://bajwacpa.com/service/financial-statements/" TargetMode="External"/><Relationship Id="rId31" Type="http://schemas.openxmlformats.org/officeDocument/2006/relationships/hyperlink" Target="https://bajwacpa.com/service/incorporation-business-registration/" TargetMode="External"/><Relationship Id="rId36" Type="http://schemas.openxmlformats.org/officeDocument/2006/relationships/hyperlink" Target="https://bajwacpa.com/service/non-resident-tax-returns/" TargetMode="External"/><Relationship Id="rId28" Type="http://schemas.openxmlformats.org/officeDocument/2006/relationships/hyperlink" Target="https://bajwacpa.com/service/personal-tax-return/" TargetMode="External"/><Relationship Id="rId33" Type="http://schemas.openxmlformats.org/officeDocument/2006/relationships/hyperlink" Target="https://bajwacpa.com/service/tax-planning/" TargetMode="External"/><Relationship Id="rId38" Type="http://schemas.openxmlformats.org/officeDocument/2006/relationships/hyperlink" Target="https://bajwacpa.com/tax-checkli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2026-10-05T10:31:01Z</dcterms:created>
  <dcterms:modified xsi:type="dcterms:W3CDTF">2026-10-05T10:31:01Z</dcterms:modified>
</cp:coreProperties>
</file>

<file path=docProps/custom.xml><?xml version="1.0" encoding="utf-8"?>
<Properties xmlns="http://schemas.openxmlformats.org/officeDocument/2006/custom-properties" xmlns:vt="http://schemas.openxmlformats.org/officeDocument/2006/docPropsVTypes"/>
</file>