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A6432C"/>
          <w:sz w:val="48"/>
        </w:rPr>
        <w:t>ARE THE TONYS STILL RELEVANT?</w:t>
      </w:r>
    </w:p>
    <w:p>
      <w:r>
        <w:rPr>
          <w:color w:val="8C8678"/>
          <w:sz w:val="24"/>
        </w:rPr>
        <w:t>Nielsen viewership analysis updated through 2026 — findings, charts, and data</w:t>
      </w:r>
    </w:p>
    <w:p/>
    <w:p>
      <w:pPr>
        <w:pStyle w:val="Heading1"/>
      </w:pPr>
      <w:r>
        <w:t>Charts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king_1_rollercoa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C8678"/>
          <w:sz w:val="16"/>
        </w:rPr>
        <w:t>Striking 1 Rollercoaster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king_2_everyone_f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C8678"/>
          <w:sz w:val="16"/>
        </w:rPr>
        <w:t>Striking 2 Everyone Fell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king_3_measurement_mi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C8678"/>
          <w:sz w:val="16"/>
        </w:rPr>
        <w:t>Striking 3 Measurement Mirage</w:t>
      </w:r>
    </w:p>
    <w:p>
      <w:r>
        <w:drawing>
          <wp:inline xmlns:a="http://schemas.openxmlformats.org/drawingml/2006/main" xmlns:pic="http://schemas.openxmlformats.org/drawingml/2006/picture">
            <wp:extent cx="5303520" cy="3093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king_4_oldest_r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C8678"/>
          <w:sz w:val="16"/>
        </w:rPr>
        <w:t>Striking 4 Oldest Room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iking_5_shrinking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C8678"/>
          <w:sz w:val="16"/>
        </w:rPr>
        <w:t>Striking 5 Shrinking Pie</w:t>
      </w:r>
    </w:p>
    <w:p>
      <w:r>
        <w:br w:type="page"/>
      </w:r>
    </w:p>
    <w:p>
      <w:pPr>
        <w:jc w:val="left"/>
      </w:pPr>
      <w:r>
        <w:rPr>
          <w:b/>
          <w:color w:val="A6432C"/>
          <w:sz w:val="44"/>
        </w:rPr>
        <w:t>The Tony Awards Nielsen story, updated through 2026 — in-depth findings</w:t>
      </w:r>
    </w:p>
    <w:p/>
    <w:p>
      <w:r>
        <w:rPr>
          <w:color w:val="2B2620"/>
          <w:sz w:val="22"/>
        </w:rPr>
        <w:t>*Refresh of the Phase-1 ratings analysis with the 79th Tony Awards (June 7,</w:t>
      </w:r>
    </w:p>
    <w:p>
      <w:r>
        <w:rPr>
          <w:color w:val="2B2620"/>
          <w:sz w:val="22"/>
        </w:rPr>
        <w:t>2026), a full data-verification pass, and a new chart set in a bold</w:t>
      </w:r>
    </w:p>
    <w:p>
      <w:r>
        <w:rPr>
          <w:color w:val="2B2620"/>
          <w:sz w:val="22"/>
        </w:rPr>
        <w:t>media-economics style. Bottom line: the popular "the Tonys are dying on TV"</w:t>
      </w:r>
    </w:p>
    <w:p>
      <w:r>
        <w:rPr>
          <w:color w:val="2B2620"/>
          <w:sz w:val="22"/>
        </w:rPr>
        <w:t>narrative is now even harder to defend on the numbers — and the most-repeated</w:t>
      </w:r>
    </w:p>
    <w:p>
      <w:r>
        <w:rPr>
          <w:color w:val="2B2620"/>
          <w:sz w:val="22"/>
        </w:rPr>
        <w:t>2026 headline is a measurement artifact.*</w:t>
      </w:r>
    </w:p>
    <w:p/>
    <w:p>
      <w:r>
        <w:rPr>
          <w:color w:val="8C867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20"/>
      </w:pPr>
      <w:r>
        <w:rPr>
          <w:b/>
          <w:color w:val="4C5A38"/>
          <w:sz w:val="28"/>
        </w:rPr>
        <w:t>0. The headline findings</w:t>
      </w:r>
    </w:p>
    <w:p/>
    <w:p>
      <w:pPr>
        <w:pStyle w:val="ListNumber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2026 was the Tonys' best broadcast since 2019 — and the "dip" was a mirage.</w:t>
      </w:r>
      <w:r>
        <w:rPr>
          <w:color w:val="2B2620"/>
          <w:sz w:val="22"/>
        </w:rPr>
      </w:r>
    </w:p>
    <w:p>
      <w:r>
        <w:rPr>
          <w:color w:val="2B2620"/>
          <w:sz w:val="22"/>
        </w:rPr>
        <w:t xml:space="preserve">   The 79th Tonys drew </w:t>
      </w:r>
      <w:r>
        <w:rPr>
          <w:b/>
          <w:color w:val="2B2620"/>
          <w:sz w:val="22"/>
        </w:rPr>
        <w:t>5.06M linear viewers</w:t>
      </w:r>
      <w:r>
        <w:rPr>
          <w:color w:val="2B2620"/>
          <w:sz w:val="22"/>
        </w:rPr>
        <w:t xml:space="preserve"> on CBS (preliminary). That is the</w:t>
      </w:r>
    </w:p>
    <w:p>
      <w:r>
        <w:rPr>
          <w:color w:val="2B2620"/>
          <w:sz w:val="22"/>
        </w:rPr>
        <w:t xml:space="preserve">   highest Tony broadcast number since 2019 and </w:t>
      </w:r>
      <w:r>
        <w:rPr>
          <w:b/>
          <w:color w:val="2B2620"/>
          <w:sz w:val="22"/>
        </w:rPr>
        <w:t>+4% over 2025's linear 4.85M</w:t>
      </w:r>
      <w:r>
        <w:rPr>
          <w:color w:val="2B2620"/>
          <w:sz w:val="22"/>
        </w:rPr>
        <w:t>.</w:t>
      </w:r>
    </w:p>
    <w:p>
      <w:r>
        <w:rPr>
          <w:color w:val="2B2620"/>
          <w:sz w:val="22"/>
        </w:rPr>
        <w:t xml:space="preserve">   Outlets reported a "slight (−0.78%) dip" — but only by comparing the 2026</w:t>
      </w:r>
    </w:p>
    <w:p>
      <w:r>
        <w:rPr>
          <w:color w:val="2B2620"/>
          <w:sz w:val="22"/>
        </w:rPr>
        <w:t xml:space="preserve">   </w:t>
      </w:r>
      <w:r>
        <w:rPr>
          <w:b/>
          <w:color w:val="2B2620"/>
          <w:sz w:val="22"/>
        </w:rPr>
        <w:t>linear</w:t>
      </w:r>
      <w:r>
        <w:rPr>
          <w:color w:val="2B2620"/>
          <w:sz w:val="22"/>
        </w:rPr>
        <w:t xml:space="preserve"> number to 2025's </w:t>
      </w:r>
      <w:r>
        <w:rPr>
          <w:b/>
          <w:color w:val="2B2620"/>
          <w:sz w:val="22"/>
        </w:rPr>
        <w:t>5.10M across-platform</w:t>
      </w:r>
      <w:r>
        <w:rPr>
          <w:color w:val="2B2620"/>
          <w:sz w:val="22"/>
        </w:rPr>
        <w:t xml:space="preserve"> number (linear +</w:t>
      </w:r>
    </w:p>
    <w:p>
      <w:r>
        <w:rPr>
          <w:color w:val="2B2620"/>
          <w:sz w:val="22"/>
        </w:rPr>
        <w:t xml:space="preserve">   Paramount+). That is two different rulers. </w:t>
      </w:r>
      <w:r>
        <w:rPr>
          <w:b/>
          <w:color w:val="2B2620"/>
          <w:sz w:val="22"/>
        </w:rPr>
        <w:t>Like-for-like, the Tonys rose.</w:t>
      </w:r>
      <w:r>
        <w:rPr>
          <w:color w:val="2B2620"/>
          <w:sz w:val="22"/>
        </w:rPr>
      </w:r>
    </w:p>
    <w:p>
      <w:pPr>
        <w:pStyle w:val="ListNumber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The Tonys have now recovered for four straight years</w:t>
      </w:r>
      <w:r>
        <w:rPr>
          <w:color w:val="2B2620"/>
          <w:sz w:val="22"/>
        </w:rPr>
        <w:t>, from the 2021</w:t>
      </w:r>
    </w:p>
    <w:p>
      <w:r>
        <w:rPr>
          <w:color w:val="2B2620"/>
          <w:sz w:val="22"/>
        </w:rPr>
        <w:t xml:space="preserve">   pandemic trough (2.62M) to 5.06M in 2026 — climbing right through the period</w:t>
      </w:r>
    </w:p>
    <w:p>
      <w:r>
        <w:rPr>
          <w:color w:val="2B2620"/>
          <w:sz w:val="22"/>
        </w:rPr>
        <w:t xml:space="preserve">   everyone was calling them culturally dead.</w:t>
      </w:r>
    </w:p>
    <w:p>
      <w:pPr>
        <w:pStyle w:val="ListNumber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The decline that did happen is not Tony-specific.</w:t>
      </w:r>
      <w:r>
        <w:rPr>
          <w:color w:val="2B2620"/>
          <w:sz w:val="22"/>
        </w:rPr>
        <w:t xml:space="preserve"> A difference-in-</w:t>
      </w:r>
    </w:p>
    <w:p>
      <w:r>
        <w:rPr>
          <w:color w:val="2B2620"/>
          <w:sz w:val="22"/>
        </w:rPr>
        <w:t xml:space="preserve">   differences test against the Oscars, Emmys and Grammys still finds **no</w:t>
      </w:r>
    </w:p>
    <w:p>
      <w:r>
        <w:rPr>
          <w:color w:val="2B2620"/>
          <w:sz w:val="22"/>
        </w:rPr>
        <w:t xml:space="preserve">   Tony-specific trend** (+1.6%/yr, p=0.59). Whatever fell, fell across all of</w:t>
      </w:r>
    </w:p>
    <w:p>
      <w:r>
        <w:rPr>
          <w:color w:val="2B2620"/>
          <w:sz w:val="22"/>
        </w:rPr>
        <w:t xml:space="preserve">   linear TV — not on Broadway's award show in particular.</w:t>
      </w:r>
    </w:p>
    <w:p>
      <w:pPr>
        <w:pStyle w:val="ListNumber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The real Tony-specific signals are structural, not cyclical:</w:t>
      </w:r>
      <w:r>
        <w:rPr>
          <w:color w:val="2B2620"/>
          <w:sz w:val="22"/>
        </w:rPr>
        <w:t xml:space="preserve"> the Tonys</w:t>
      </w:r>
    </w:p>
    <w:p>
      <w:r>
        <w:rPr>
          <w:color w:val="2B2620"/>
          <w:sz w:val="22"/>
        </w:rPr>
        <w:t xml:space="preserve">   remain the </w:t>
      </w:r>
      <w:r>
        <w:rPr>
          <w:b/>
          <w:color w:val="2B2620"/>
          <w:sz w:val="22"/>
        </w:rPr>
        <w:t>smallest</w:t>
      </w:r>
      <w:r>
        <w:rPr>
          <w:color w:val="2B2620"/>
          <w:sz w:val="22"/>
        </w:rPr>
        <w:t xml:space="preserve"> of the big-four award broadcasts and have the **oldest</w:t>
      </w:r>
    </w:p>
    <w:p>
      <w:r>
        <w:rPr>
          <w:color w:val="2B2620"/>
          <w:sz w:val="22"/>
        </w:rPr>
        <w:t xml:space="preserve">   audience of any award show (~61, i.e. ~23 years older than the typical</w:t>
      </w:r>
    </w:p>
    <w:p>
      <w:r>
        <w:rPr>
          <w:color w:val="2B2620"/>
          <w:sz w:val="22"/>
        </w:rPr>
        <w:t xml:space="preserve">   American)**. Those — not the ratings line — are the relevance story.</w:t>
      </w:r>
    </w:p>
    <w:p/>
    <w:p>
      <w:r>
        <w:rPr>
          <w:color w:val="8C867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20"/>
      </w:pPr>
      <w:r>
        <w:rPr>
          <w:b/>
          <w:color w:val="4C5A38"/>
          <w:sz w:val="28"/>
        </w:rPr>
        <w:t>1. What the 2026 number actually is (the data-integrity catch)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rPr>
                <w:b/>
                <w:color w:val="4C5A38"/>
                <w:sz w:val="18"/>
              </w:rPr>
              <w:t>Year</w:t>
            </w:r>
          </w:p>
        </w:tc>
        <w:tc>
          <w:tcPr>
            <w:tcW w:type="dxa" w:w="2209"/>
          </w:tcPr>
          <w:p>
            <w:r>
              <w:rPr>
                <w:b/>
                <w:color w:val="4C5A38"/>
                <w:sz w:val="18"/>
              </w:rPr>
              <w:t>Linear (CBS, L+SD)</w:t>
            </w:r>
          </w:p>
        </w:tc>
        <w:tc>
          <w:tcPr>
            <w:tcW w:type="dxa" w:w="2209"/>
          </w:tcPr>
          <w:p>
            <w:r>
              <w:rPr>
                <w:b/>
                <w:color w:val="4C5A38"/>
                <w:sz w:val="18"/>
              </w:rPr>
              <w:t>Across-platform</w:t>
            </w:r>
          </w:p>
        </w:tc>
        <w:tc>
          <w:tcPr>
            <w:tcW w:type="dxa" w:w="2209"/>
          </w:tcPr>
          <w:p>
            <w:r>
              <w:rPr>
                <w:b/>
                <w:color w:val="4C5A38"/>
                <w:sz w:val="18"/>
              </w:rPr>
              <w:t>What outlets compared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4.12M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3.51M (CBS: 3.53M)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**4.85M**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**5.10M**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09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**5.06M**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*not yet released*</w:t>
            </w:r>
          </w:p>
        </w:tc>
        <w:tc>
          <w:tcPr>
            <w:tcW w:type="dxa" w:w="2209"/>
          </w:tcPr>
          <w:p>
            <w:r>
              <w:rPr>
                <w:sz w:val="18"/>
              </w:rPr>
              <w:t>5.06M **vs. 2025's 5.10M** → "−0.78% dip"</w:t>
            </w:r>
          </w:p>
        </w:tc>
      </w:tr>
    </w:tbl>
    <w:p/>
    <w:p/>
    <w:p>
      <w:r>
        <w:rPr>
          <w:color w:val="2B2620"/>
          <w:sz w:val="22"/>
        </w:rPr>
        <w:t xml:space="preserve">The "dip" headline compares a </w:t>
      </w:r>
      <w:r>
        <w:rPr>
          <w:b/>
          <w:color w:val="2B2620"/>
          <w:sz w:val="22"/>
        </w:rPr>
        <w:t>linear</w:t>
      </w:r>
      <w:r>
        <w:rPr>
          <w:color w:val="2B2620"/>
          <w:sz w:val="22"/>
        </w:rPr>
        <w:t xml:space="preserve"> figure (2026) to a </w:t>
      </w:r>
      <w:r>
        <w:rPr>
          <w:b/>
          <w:color w:val="2B2620"/>
          <w:sz w:val="22"/>
        </w:rPr>
        <w:t>cross-platform</w:t>
      </w:r>
      <w:r>
        <w:rPr>
          <w:color w:val="2B2620"/>
          <w:sz w:val="22"/>
        </w:rPr>
      </w:r>
    </w:p>
    <w:p>
      <w:r>
        <w:rPr>
          <w:color w:val="2B2620"/>
          <w:sz w:val="22"/>
        </w:rPr>
        <w:t xml:space="preserve">figure (2025). On a consistent </w:t>
      </w:r>
      <w:r>
        <w:rPr>
          <w:b/>
          <w:color w:val="2B2620"/>
          <w:sz w:val="22"/>
        </w:rPr>
        <w:t>linear</w:t>
      </w:r>
      <w:r>
        <w:rPr>
          <w:color w:val="2B2620"/>
          <w:sz w:val="22"/>
        </w:rPr>
        <w:t xml:space="preserve"> basis the sequence is</w:t>
      </w:r>
    </w:p>
    <w:p>
      <w:r>
        <w:rPr>
          <w:color w:val="2B2620"/>
          <w:sz w:val="22"/>
        </w:rPr>
      </w:r>
      <w:r>
        <w:rPr>
          <w:b/>
          <w:color w:val="2B2620"/>
          <w:sz w:val="22"/>
        </w:rPr>
        <w:t>3.51 → 4.85 → 5.06</w:t>
      </w:r>
      <w:r>
        <w:rPr>
          <w:color w:val="2B2620"/>
          <w:sz w:val="22"/>
        </w:rPr>
        <w:t>, a clean two-year climb to a post-2019 high. CBS's own</w:t>
      </w:r>
    </w:p>
    <w:p>
      <w:r>
        <w:rPr>
          <w:color w:val="2B2620"/>
          <w:sz w:val="22"/>
        </w:rPr>
        <w:t>release confirms the basis: "+44% vs. 2024 (3.53M)" and "+23% vs. 2023 (4.12M)"</w:t>
      </w:r>
    </w:p>
    <w:p>
      <w:r>
        <w:rPr>
          <w:color w:val="2B2620"/>
          <w:sz w:val="22"/>
        </w:rPr>
        <w:t>only work if 5.06M is the linear number. **The honest read: 2026 linear</w:t>
      </w:r>
    </w:p>
    <w:p>
      <w:r>
        <w:rPr>
          <w:color w:val="2B2620"/>
          <w:sz w:val="22"/>
        </w:rPr>
        <w:t>viewership rose ~4%; the Paramount+ add (which would push the across-platform</w:t>
      </w:r>
    </w:p>
    <w:p>
      <w:r>
        <w:rPr>
          <w:color w:val="2B2620"/>
          <w:sz w:val="22"/>
        </w:rPr>
        <w:t>total above 5.10M) had not been published at the time of writing.**</w:t>
      </w:r>
    </w:p>
    <w:p/>
    <w:p>
      <w:r>
        <w:rPr>
          <w:color w:val="2B2620"/>
          <w:sz w:val="22"/>
        </w:rPr>
        <w:t>This is the single most important reason to keep `measurement = 'linear' |</w:t>
      </w:r>
    </w:p>
    <w:p>
      <w:r>
        <w:rPr>
          <w:color w:val="2B2620"/>
          <w:sz w:val="22"/>
        </w:rPr>
        <w:t xml:space="preserve">'xplat'` strictly separated — see chart </w:t>
      </w:r>
      <w:r>
        <w:rPr>
          <w:b/>
          <w:color w:val="2B2620"/>
          <w:sz w:val="22"/>
        </w:rPr>
        <w:t>3, "The measurement mirage."</w:t>
      </w:r>
      <w:r>
        <w:rPr>
          <w:color w:val="2B2620"/>
          <w:sz w:val="22"/>
        </w:rPr>
      </w:r>
    </w:p>
    <w:p/>
    <w:p>
      <w:r>
        <w:rPr>
          <w:color w:val="8C867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20"/>
      </w:pPr>
      <w:r>
        <w:rPr>
          <w:b/>
          <w:color w:val="4C5A38"/>
          <w:sz w:val="28"/>
        </w:rPr>
        <w:t>2. Verification pass (what changed and why)</w:t>
      </w:r>
    </w:p>
    <w:p/>
    <w:p>
      <w:pPr>
        <w:pStyle w:val="ListBullet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2026 added:</w:t>
      </w:r>
      <w:r>
        <w:rPr>
          <w:color w:val="2B2620"/>
          <w:sz w:val="22"/>
        </w:rPr>
        <w:t xml:space="preserve"> 5.06M linear, </w:t>
      </w:r>
      <w:r>
        <w:rPr>
          <w:rFonts w:ascii="Courier New" w:hAnsi="Courier New"/>
          <w:color w:val="A6432C"/>
          <w:sz w:val="18"/>
        </w:rPr>
        <w:t>confidence = med</w:t>
      </w:r>
      <w:r>
        <w:rPr>
          <w:color w:val="2B2620"/>
          <w:sz w:val="22"/>
        </w:rPr>
        <w:t xml:space="preserve"> (preliminary home viewers).</w:t>
      </w:r>
    </w:p>
    <w:p>
      <w:pPr>
        <w:pStyle w:val="ListBullet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2023 reconciled to 4.12M</w:t>
      </w:r>
      <w:r>
        <w:rPr>
          <w:color w:val="2B2620"/>
          <w:sz w:val="22"/>
        </w:rPr>
        <w:t xml:space="preserve"> (Live+Same-Day), the basis CBS uses for its own</w:t>
      </w:r>
    </w:p>
    <w:p>
      <w:r>
        <w:rPr>
          <w:color w:val="2B2620"/>
          <w:sz w:val="22"/>
        </w:rPr>
        <w:t xml:space="preserve">  year-over-year math and consistent with how 2024–2026 are measured here. The</w:t>
      </w:r>
    </w:p>
    <w:p>
      <w:r>
        <w:rPr>
          <w:color w:val="2B2620"/>
          <w:sz w:val="22"/>
        </w:rPr>
        <w:t xml:space="preserve">  Variety "final" 4.30M is recorded as an alternative. The DiD result is</w:t>
      </w:r>
    </w:p>
    <w:p>
      <w:r>
        <w:rPr>
          <w:color w:val="2B2620"/>
          <w:sz w:val="22"/>
        </w:rPr>
        <w:t xml:space="preserve">  unchanged in substance (+1.7%→+1.6%/yr; still null).</w:t>
      </w:r>
    </w:p>
    <w:p>
      <w:pPr>
        <w:pStyle w:val="ListBullet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Peers re-confirmed</w:t>
      </w:r>
      <w:r>
        <w:rPr>
          <w:color w:val="2B2620"/>
          <w:sz w:val="22"/>
        </w:rPr>
        <w:t xml:space="preserve"> against second sources earlier in the project (Oscars,</w:t>
      </w:r>
    </w:p>
    <w:p>
      <w:r>
        <w:rPr>
          <w:color w:val="2B2620"/>
          <w:sz w:val="22"/>
        </w:rPr>
        <w:t xml:space="preserve">  Emmys full series; Grammys compiled series). See </w:t>
      </w:r>
      <w:r>
        <w:rPr>
          <w:rFonts w:ascii="Courier New" w:hAnsi="Courier New"/>
          <w:color w:val="A6432C"/>
          <w:sz w:val="18"/>
        </w:rPr>
        <w:t>VERIFICATION.md</w:t>
      </w:r>
      <w:r>
        <w:rPr>
          <w:color w:val="2B2620"/>
          <w:sz w:val="22"/>
        </w:rPr>
        <w:t xml:space="preserve"> for the</w:t>
      </w:r>
    </w:p>
    <w:p>
      <w:r>
        <w:rPr>
          <w:color w:val="2B2620"/>
          <w:sz w:val="22"/>
        </w:rPr>
        <w:t xml:space="preserve">  cell-by-cell log and residual risks (some mid-decade SAG and </w:t>
      </w:r>
      <w:r>
        <w:rPr>
          <w:rFonts w:ascii="Courier New" w:hAnsi="Courier New"/>
          <w:color w:val="A6432C"/>
          <w:sz w:val="18"/>
        </w:rPr>
        <w:t>med</w:t>
      </w:r>
      <w:r>
        <w:rPr>
          <w:color w:val="2B2620"/>
          <w:sz w:val="22"/>
        </w:rPr>
        <w:t>/</w:t>
      </w:r>
      <w:r>
        <w:rPr>
          <w:rFonts w:ascii="Courier New" w:hAnsi="Courier New"/>
          <w:color w:val="A6432C"/>
          <w:sz w:val="18"/>
        </w:rPr>
        <w:t>low</w:t>
      </w:r>
      <w:r>
        <w:rPr>
          <w:color w:val="2B2620"/>
          <w:sz w:val="22"/>
        </w:rPr>
        <w:t xml:space="preserve"> Tony</w:t>
      </w:r>
    </w:p>
    <w:p>
      <w:r>
        <w:rPr>
          <w:color w:val="2B2620"/>
          <w:sz w:val="22"/>
        </w:rPr>
        <w:t xml:space="preserve">  cells still merit primary-source validation before any single figure is</w:t>
      </w:r>
    </w:p>
    <w:p>
      <w:r>
        <w:rPr>
          <w:color w:val="2B2620"/>
          <w:sz w:val="22"/>
        </w:rPr>
        <w:t xml:space="preserve">  published).</w:t>
      </w:r>
    </w:p>
    <w:p/>
    <w:p>
      <w:r>
        <w:rPr>
          <w:color w:val="8C867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20"/>
      </w:pPr>
      <w:r>
        <w:rPr>
          <w:b/>
          <w:color w:val="4C5A38"/>
          <w:sz w:val="28"/>
        </w:rPr>
        <w:t>3. The trend, re-run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  <w:color w:val="4C5A38"/>
                <w:sz w:val="18"/>
              </w:rPr>
              <w:t>Metric</w:t>
            </w:r>
          </w:p>
        </w:tc>
        <w:tc>
          <w:tcPr>
            <w:tcW w:type="dxa" w:w="4419"/>
          </w:tcPr>
          <w:p>
            <w:r>
              <w:rPr>
                <w:b/>
                <w:color w:val="4C5A38"/>
                <w:sz w:val="18"/>
              </w:rPr>
              <w:t>Value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Tony linear, 2014 → 2026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7.0M → **5.06M  (−28%)**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Tony off its 2016 (Hamilton) peak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8.7M → 5.06M  (−42%)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Tony 2021 trough → 2026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2.62M → 5.06M  (**+93%**)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Peer-average change, 2014 → 2025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**−52%**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**DiD: Tony-specific annual trend vs peers**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**+1.6%/yr, p=0.59 (null)**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Tony rank by rate of decline (1 = fastest)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**slowest of the four**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Tony share of the big-four audience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7.4% (2014) → **10.2% (2025)**</w:t>
            </w:r>
          </w:p>
        </w:tc>
      </w:tr>
      <w:tr>
        <w:tc>
          <w:tcPr>
            <w:tcW w:type="dxa" w:w="4419"/>
          </w:tcPr>
          <w:p>
            <w:r>
              <w:rPr>
                <w:sz w:val="18"/>
              </w:rPr>
              <w:t>Tony median viewer age</w:t>
            </w:r>
          </w:p>
        </w:tc>
        <w:tc>
          <w:tcPr>
            <w:tcW w:type="dxa" w:w="4419"/>
          </w:tcPr>
          <w:p>
            <w:r>
              <w:rPr>
                <w:sz w:val="18"/>
              </w:rPr>
              <w:t>**~61 — oldest of any award show**</w:t>
            </w:r>
          </w:p>
        </w:tc>
      </w:tr>
    </w:tbl>
    <w:p/>
    <w:p/>
    <w:p>
      <w:r>
        <w:rPr>
          <w:color w:val="2B2620"/>
          <w:sz w:val="22"/>
        </w:rPr>
      </w:r>
      <w:r>
        <w:rPr>
          <w:b/>
          <w:color w:val="2B2620"/>
          <w:sz w:val="22"/>
        </w:rPr>
        <w:t>Interpretation.</w:t>
      </w:r>
      <w:r>
        <w:rPr>
          <w:color w:val="2B2620"/>
          <w:sz w:val="22"/>
        </w:rPr>
        <w:t xml:space="preserve"> The "ratings collapse" was a *linear-TV* event with a</w:t>
      </w:r>
    </w:p>
    <w:p>
      <w:r>
        <w:rPr>
          <w:color w:val="2B2620"/>
          <w:sz w:val="22"/>
        </w:rPr>
        <w:t>*pandemic* trough, now substantially recovered, and never Tony-specific. The</w:t>
      </w:r>
    </w:p>
    <w:p>
      <w:r>
        <w:rPr>
          <w:color w:val="2B2620"/>
          <w:sz w:val="22"/>
        </w:rPr>
        <w:t xml:space="preserve">Tonys even </w:t>
      </w:r>
      <w:r>
        <w:rPr>
          <w:b/>
          <w:color w:val="2B2620"/>
          <w:sz w:val="22"/>
        </w:rPr>
        <w:t>gained share</w:t>
      </w:r>
      <w:r>
        <w:rPr>
          <w:color w:val="2B2620"/>
          <w:sz w:val="22"/>
        </w:rPr>
        <w:t xml:space="preserve"> of the (shrinking) award-show audience because their</w:t>
      </w:r>
    </w:p>
    <w:p>
      <w:r>
        <w:rPr>
          <w:color w:val="2B2620"/>
          <w:sz w:val="22"/>
        </w:rPr>
        <w:t xml:space="preserve">peers fell faster. The genuine vulnerabilities are </w:t>
      </w:r>
      <w:r>
        <w:rPr>
          <w:b/>
          <w:color w:val="2B2620"/>
          <w:sz w:val="22"/>
        </w:rPr>
        <w:t>size</w:t>
      </w:r>
      <w:r>
        <w:rPr>
          <w:color w:val="2B2620"/>
          <w:sz w:val="22"/>
        </w:rPr>
        <w:t xml:space="preserve"> and </w:t>
      </w:r>
      <w:r>
        <w:rPr>
          <w:b/>
          <w:color w:val="2B2620"/>
          <w:sz w:val="22"/>
        </w:rPr>
        <w:t>age</w:t>
      </w:r>
      <w:r>
        <w:rPr>
          <w:color w:val="2B2620"/>
          <w:sz w:val="22"/>
        </w:rPr>
        <w:t>, plus the</w:t>
      </w:r>
    </w:p>
    <w:p>
      <w:r>
        <w:rPr>
          <w:color w:val="2B2620"/>
          <w:sz w:val="22"/>
        </w:rPr>
        <w:t>off-TV "cultural export" question taken up in the Phase-2 work (</w:t>
      </w:r>
      <w:r>
        <w:rPr>
          <w:rFonts w:ascii="Courier New" w:hAnsi="Courier New"/>
          <w:color w:val="A6432C"/>
          <w:sz w:val="18"/>
        </w:rPr>
        <w:t>DEEPER_ANALYSIS.md</w:t>
      </w:r>
      <w:r>
        <w:rPr>
          <w:color w:val="2B2620"/>
          <w:sz w:val="22"/>
        </w:rPr>
        <w:t>,</w:t>
      </w:r>
    </w:p>
    <w:p>
      <w:r>
        <w:rPr>
          <w:color w:val="2B2620"/>
          <w:sz w:val="22"/>
        </w:rPr>
      </w:r>
      <w:r>
        <w:rPr>
          <w:rFonts w:ascii="Courier New" w:hAnsi="Courier New"/>
          <w:color w:val="A6432C"/>
          <w:sz w:val="18"/>
        </w:rPr>
        <w:t>IP_SHARE.md</w:t>
      </w:r>
      <w:r>
        <w:rPr>
          <w:color w:val="2B2620"/>
          <w:sz w:val="22"/>
        </w:rPr>
        <w:t>).</w:t>
      </w:r>
    </w:p>
    <w:p/>
    <w:p>
      <w:r>
        <w:rPr>
          <w:color w:val="8C867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20"/>
      </w:pPr>
      <w:r>
        <w:rPr>
          <w:b/>
          <w:color w:val="4C5A38"/>
          <w:sz w:val="28"/>
        </w:rPr>
        <w:t>4. The charts (bold "media-economics" set)</w:t>
      </w:r>
    </w:p>
    <w:p/>
    <w:p>
      <w:r>
        <w:rPr>
          <w:color w:val="2B2620"/>
          <w:sz w:val="22"/>
        </w:rPr>
        <w:t xml:space="preserve">Rendered by </w:t>
      </w:r>
      <w:r>
        <w:rPr>
          <w:rFonts w:ascii="Courier New" w:hAnsi="Courier New"/>
          <w:color w:val="A6432C"/>
          <w:sz w:val="18"/>
        </w:rPr>
        <w:t>analysis/06_striking_charts.py</w:t>
      </w:r>
      <w:r>
        <w:rPr>
          <w:color w:val="2B2620"/>
          <w:sz w:val="22"/>
        </w:rPr>
        <w:t xml:space="preserve"> into </w:t>
      </w:r>
      <w:r>
        <w:rPr>
          <w:rFonts w:ascii="Courier New" w:hAnsi="Courier New"/>
          <w:color w:val="A6432C"/>
          <w:sz w:val="18"/>
        </w:rPr>
        <w:t>charts/striking_*.png</w:t>
      </w:r>
      <w:r>
        <w:rPr>
          <w:color w:val="2B2620"/>
          <w:sz w:val="22"/>
        </w:rPr>
        <w:t>:</w:t>
      </w:r>
    </w:p>
    <w:p/>
    <w:p>
      <w:pPr>
        <w:pStyle w:val="ListNumber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`striking_1_rollercoaster.png`</w:t>
      </w:r>
      <w:r>
        <w:rPr>
          <w:color w:val="2B2620"/>
          <w:sz w:val="22"/>
        </w:rPr>
        <w:t xml:space="preserve"> — Tony broadcast audience 2001–2026,</w:t>
      </w:r>
    </w:p>
    <w:p>
      <w:r>
        <w:rPr>
          <w:color w:val="2B2620"/>
          <w:sz w:val="22"/>
        </w:rPr>
        <w:t xml:space="preserve">   annotated: Hamilton peak, pandemic low, 2026 best-since-2019.</w:t>
      </w:r>
    </w:p>
    <w:p>
      <w:pPr>
        <w:pStyle w:val="ListNumber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`striking_2_everyone_fell.png`</w:t>
      </w:r>
      <w:r>
        <w:rPr>
          <w:color w:val="2B2620"/>
          <w:sz w:val="22"/>
        </w:rPr>
        <w:t xml:space="preserve"> — indexed vs. peers; the Tony line ends</w:t>
      </w:r>
    </w:p>
    <w:p>
      <w:r>
        <w:rPr>
          <w:color w:val="2B2620"/>
          <w:sz w:val="22"/>
        </w:rPr>
        <w:t xml:space="preserve">   highest of the four. The "it's all of TV, not the Tonys" chart.</w:t>
      </w:r>
    </w:p>
    <w:p>
      <w:pPr>
        <w:pStyle w:val="ListNumber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`striking_3_measurement_mirage.png`</w:t>
      </w:r>
      <w:r>
        <w:rPr>
          <w:color w:val="2B2620"/>
          <w:sz w:val="22"/>
        </w:rPr>
        <w:t xml:space="preserve"> — how a +4% linear rise got reported</w:t>
      </w:r>
    </w:p>
    <w:p>
      <w:r>
        <w:rPr>
          <w:color w:val="2B2620"/>
          <w:sz w:val="22"/>
        </w:rPr>
        <w:t xml:space="preserve">   as a "dip."</w:t>
      </w:r>
    </w:p>
    <w:p>
      <w:pPr>
        <w:pStyle w:val="ListNumber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`striking_4_oldest_room.png`</w:t>
      </w:r>
      <w:r>
        <w:rPr>
          <w:color w:val="2B2620"/>
          <w:sz w:val="22"/>
        </w:rPr>
        <w:t xml:space="preserve"> — median viewer age vs. the typical American;</w:t>
      </w:r>
    </w:p>
    <w:p>
      <w:r>
        <w:rPr>
          <w:color w:val="2B2620"/>
          <w:sz w:val="22"/>
        </w:rPr>
        <w:t xml:space="preserve">   the Tonys ~23 years older.</w:t>
      </w:r>
    </w:p>
    <w:p>
      <w:pPr>
        <w:pStyle w:val="ListNumber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`striking_5_shrinking_pie.png`</w:t>
      </w:r>
      <w:r>
        <w:rPr>
          <w:color w:val="2B2620"/>
          <w:sz w:val="22"/>
        </w:rPr>
        <w:t xml:space="preserve"> — Tony share of the big-four audience.</w:t>
      </w:r>
    </w:p>
    <w:p/>
    <w:p>
      <w:r>
        <w:rPr>
          <w:color w:val="2B2620"/>
          <w:sz w:val="22"/>
        </w:rPr>
        <w:t>*(Theme note: these mirror the dark, neon-on-black, annotation-forward house</w:t>
      </w:r>
    </w:p>
    <w:p>
      <w:r>
        <w:rPr>
          <w:color w:val="2B2620"/>
          <w:sz w:val="22"/>
        </w:rPr>
        <w:t>style of data-forward media newsletters; the exact palette/typography is a few</w:t>
      </w:r>
    </w:p>
    <w:p>
      <w:r>
        <w:rPr>
          <w:color w:val="2B2620"/>
          <w:sz w:val="22"/>
        </w:rPr>
        <w:t>constants at the top of the script and can be matched to any reference.)*</w:t>
      </w:r>
    </w:p>
    <w:p/>
    <w:p>
      <w:r>
        <w:rPr>
          <w:color w:val="8C867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20"/>
      </w:pPr>
      <w:r>
        <w:rPr>
          <w:b/>
          <w:color w:val="4C5A38"/>
          <w:sz w:val="28"/>
        </w:rPr>
        <w:t>5. What you can write</w:t>
      </w:r>
    </w:p>
    <w:p/>
    <w:p>
      <w:pPr>
        <w:pStyle w:val="ListBullet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Lead (the myth-buster):</w:t>
      </w:r>
      <w:r>
        <w:rPr>
          <w:color w:val="2B2620"/>
          <w:sz w:val="22"/>
        </w:rPr>
        <w:t xml:space="preserve"> *"The 2026 Tonys didn't dip — they hit a six-year</w:t>
      </w:r>
    </w:p>
    <w:p>
      <w:r>
        <w:rPr>
          <w:color w:val="2B2620"/>
          <w:sz w:val="22"/>
        </w:rPr>
        <w:t xml:space="preserve">  high. The 'dip' was a footnote about which Nielsen number you read."* Use it to</w:t>
      </w:r>
    </w:p>
    <w:p>
      <w:r>
        <w:rPr>
          <w:color w:val="2B2620"/>
          <w:sz w:val="22"/>
        </w:rPr>
        <w:t xml:space="preserve">  teach the linear-vs-cross-platform trap, then pivot to the real story.</w:t>
      </w:r>
    </w:p>
    <w:p>
      <w:pPr>
        <w:pStyle w:val="ListBullet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The structural piece:</w:t>
      </w:r>
      <w:r>
        <w:rPr>
          <w:color w:val="2B2620"/>
          <w:sz w:val="22"/>
        </w:rPr>
        <w:t xml:space="preserve"> *"The Tonys aren't losing the ratings race — they're</w:t>
      </w:r>
    </w:p>
    <w:p>
      <w:r>
        <w:rPr>
          <w:color w:val="2B2620"/>
          <w:sz w:val="22"/>
        </w:rPr>
        <w:t xml:space="preserve">  losing the age race."* Smallest room, oldest audience (~61), even as the</w:t>
      </w:r>
    </w:p>
    <w:p>
      <w:r>
        <w:rPr>
          <w:color w:val="2B2620"/>
          <w:sz w:val="22"/>
        </w:rPr>
        <w:t xml:space="preserve">  broadcast recovers.</w:t>
      </w:r>
    </w:p>
    <w:p>
      <w:pPr>
        <w:pStyle w:val="ListBullet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The honest frame to keep:</w:t>
      </w:r>
      <w:r>
        <w:rPr>
          <w:color w:val="2B2620"/>
          <w:sz w:val="22"/>
        </w:rPr>
        <w:t xml:space="preserve"> ratings recovered and the decline was never</w:t>
      </w:r>
    </w:p>
    <w:p>
      <w:r>
        <w:rPr>
          <w:color w:val="2B2620"/>
          <w:sz w:val="22"/>
        </w:rPr>
        <w:t xml:space="preserve">  Tony-specific; the relevance question lives </w:t>
      </w:r>
      <w:r>
        <w:rPr>
          <w:b/>
          <w:color w:val="2B2620"/>
          <w:sz w:val="22"/>
        </w:rPr>
        <w:t>off</w:t>
      </w:r>
      <w:r>
        <w:rPr>
          <w:color w:val="2B2620"/>
          <w:sz w:val="22"/>
        </w:rPr>
        <w:t xml:space="preserve"> the Nielsen chart (search,</w:t>
      </w:r>
    </w:p>
    <w:p>
      <w:r>
        <w:rPr>
          <w:color w:val="2B2620"/>
          <w:sz w:val="22"/>
        </w:rPr>
        <w:t xml:space="preserve">  social, cast-album crossover — the export layer still to be built).</w:t>
      </w:r>
    </w:p>
    <w:p>
      <w:pPr>
        <w:pStyle w:val="ListBullet"/>
      </w:pPr>
      <w:r>
        <w:rPr>
          <w:color w:val="2B2620"/>
          <w:sz w:val="22"/>
        </w:rPr>
      </w:r>
      <w:r>
        <w:rPr>
          <w:b/>
          <w:color w:val="2B2620"/>
          <w:sz w:val="22"/>
        </w:rPr>
        <w:t>Avoid:</w:t>
      </w:r>
      <w:r>
        <w:rPr>
          <w:color w:val="2B2620"/>
          <w:sz w:val="22"/>
        </w:rPr>
        <w:t xml:space="preserve"> "Tony ratings prove the show is dying" (the line recovered four</w:t>
      </w:r>
    </w:p>
    <w:p>
      <w:r>
        <w:rPr>
          <w:color w:val="2B2620"/>
          <w:sz w:val="22"/>
        </w:rPr>
        <w:t xml:space="preserve">  straight years) and "2026 fell" (a measurement artifact).</w:t>
      </w:r>
    </w:p>
    <w:p/>
    <w:p>
      <w:r>
        <w:rPr>
          <w:color w:val="8C867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20"/>
      </w:pPr>
      <w:r>
        <w:rPr>
          <w:b/>
          <w:color w:val="4C5A38"/>
          <w:sz w:val="28"/>
        </w:rPr>
        <w:t>6. Reproduce</w:t>
      </w:r>
    </w:p>
    <w:p/>
    <w:p>
      <w:r>
        <w:rPr>
          <w:rFonts w:ascii="Courier New" w:hAnsi="Courier New"/>
          <w:color w:val="A6432C"/>
          <w:sz w:val="17"/>
        </w:rPr>
        <w:t>python3 tony_relevance/build_db.py</w:t>
        <w:br/>
        <w:t>python3 tony_relevance/analysis/01_relevance_trends.py</w:t>
        <w:br/>
        <w:t>python3 tony_relevance/analysis/02_causal_did.py</w:t>
        <w:br/>
        <w:t>python3 tony_relevance/analysis/06_striking_charts.py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