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Dead Signal</w:t>
      </w:r>
    </w:p>
    <w:p>
      <w:pPr>
        <w:pStyle w:val="Subtitle"/>
      </w:pPr>
      <w:r>
        <w:t xml:space="preserve">Localization Plan</w:t>
      </w:r>
    </w:p>
    <w:p>
      <w:pPr>
        <w:pStyle w:val="Author"/>
      </w:pPr>
      <w:r>
        <w:t xml:space="preserve">Jharek</w:t>
      </w:r>
    </w:p>
    <w:p>
      <w:pPr>
        <w:pStyle w:val="Date"/>
      </w:pPr>
      <w:r>
        <w:t xml:space="preserve">Version 1.1 · 2026-07-06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Planning — pre-implementation (strings not yet externalized)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Last updated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Jharek (loc/eng)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Canon source</w:t>
            </w:r>
          </w:p>
        </w:tc>
        <w:tc>
          <w:p>
            <w:pPr>
              <w:pStyle w:val="Compact"/>
              <w:jc w:val="left"/>
            </w:pPr>
            <w:hyperlink r:id="rId20">
              <w:r>
                <w:rPr>
                  <w:rStyle w:val="VerbatimChar"/>
                </w:rPr>
                <w:t xml:space="preserve">STORY.md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Companion docs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PRD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Technical Design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Art Bible</w:t>
              </w:r>
            </w:hyperlink>
          </w:p>
        </w:tc>
      </w:tr>
    </w:tbl>
    <w:p>
      <w:pPr>
        <w:pStyle w:val="BlockText"/>
      </w:pPr>
      <w:r>
        <w:rPr>
          <w:b/>
        </w:rPr>
        <w:t xml:space="preserve">Purpose.</w:t>
      </w:r>
      <w:r>
        <w:t xml:space="preserve"> </w:t>
      </w:r>
      <w:r>
        <w:t xml:space="preserve">How</w:t>
      </w:r>
      <w:r>
        <w:t xml:space="preserve"> </w:t>
      </w:r>
      <w:r>
        <w:rPr>
          <w:i/>
        </w:rPr>
        <w:t xml:space="preserve">Dead Signal</w:t>
      </w:r>
      <w:r>
        <w:t xml:space="preserve"> </w:t>
      </w:r>
      <w:r>
        <w:t xml:space="preserve">becomes translatable and ships in more than one language. The plan</w:t>
      </w:r>
      <w:r>
        <w:t xml:space="preserve"> </w:t>
      </w:r>
      <w:r>
        <w:t xml:space="preserve">is front-loaded on one hard dependency —</w:t>
      </w:r>
      <w:r>
        <w:t xml:space="preserve"> </w:t>
      </w:r>
      <w:r>
        <w:rPr>
          <w:b/>
        </w:rPr>
        <w:t xml:space="preserve">string externalization</w:t>
      </w:r>
      <w:r>
        <w:t xml:space="preserve"> </w:t>
      </w:r>
      <w:r>
        <w:t xml:space="preserve">— because nothing else in</w:t>
      </w:r>
      <w:r>
        <w:t xml:space="preserve"> </w:t>
      </w:r>
      <w:r>
        <w:t xml:space="preserve">localization can begin until the text is extracted from the game logic. Priority in the</w:t>
      </w:r>
      <w:r>
        <w:t xml:space="preserve"> </w:t>
      </w:r>
      <w:hyperlink r:id="rId21">
        <w:r>
          <w:rPr>
            <w:rStyle w:val="Hyperlink"/>
          </w:rPr>
          <w:t xml:space="preserve">PRD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P2</w:t>
      </w:r>
      <w:r>
        <w:t xml:space="preserve"> </w:t>
      </w:r>
      <w:r>
        <w:t xml:space="preserve">(a polished-launch/fast-follow goal, not ship-blocking).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able-of-contents"/>
      <w:r>
        <w:t xml:space="preserve">Table of contents</w:t>
      </w:r>
      <w:bookmarkEnd w:id="24"/>
    </w:p>
    <w:p>
      <w:pPr>
        <w:numPr>
          <w:ilvl w:val="0"/>
          <w:numId w:val="1001"/>
        </w:numPr>
        <w:pStyle w:val="Compact"/>
      </w:pPr>
      <w:hyperlink w:anchor="X2cf8b91ed634f57081dab1a4dacbeffe96ba4a3">
        <w:r>
          <w:rPr>
            <w:rStyle w:val="Hyperlink"/>
          </w:rPr>
          <w:t xml:space="preserve">Readiness assessment</w:t>
        </w:r>
      </w:hyperlink>
    </w:p>
    <w:p>
      <w:pPr>
        <w:numPr>
          <w:ilvl w:val="0"/>
          <w:numId w:val="1001"/>
        </w:numPr>
        <w:pStyle w:val="Compact"/>
      </w:pPr>
      <w:hyperlink w:anchor="Xac1565ba18c904cf942120bec8dc081ebcf3dab">
        <w:r>
          <w:rPr>
            <w:rStyle w:val="Hyperlink"/>
          </w:rPr>
          <w:t xml:space="preserve">The critical path: string externalization</w:t>
        </w:r>
      </w:hyperlink>
    </w:p>
    <w:p>
      <w:pPr>
        <w:numPr>
          <w:ilvl w:val="0"/>
          <w:numId w:val="1001"/>
        </w:numPr>
        <w:pStyle w:val="Compact"/>
      </w:pPr>
      <w:hyperlink w:anchor="X13c27b1f6b15e01a9526977589a5f5ebf91d097">
        <w:r>
          <w:rPr>
            <w:rStyle w:val="Hyperlink"/>
          </w:rPr>
          <w:t xml:space="preserve">String architecture</w:t>
        </w:r>
      </w:hyperlink>
    </w:p>
    <w:p>
      <w:pPr>
        <w:numPr>
          <w:ilvl w:val="0"/>
          <w:numId w:val="1001"/>
        </w:numPr>
        <w:pStyle w:val="Compact"/>
      </w:pPr>
      <w:hyperlink w:anchor="X823af4c71d4d6e247393660a9efcc1f0ec276e1">
        <w:r>
          <w:rPr>
            <w:rStyle w:val="Hyperlink"/>
          </w:rPr>
          <w:t xml:space="preserve">Target languages &amp; tiers</w:t>
        </w:r>
      </w:hyperlink>
    </w:p>
    <w:p>
      <w:pPr>
        <w:numPr>
          <w:ilvl w:val="0"/>
          <w:numId w:val="1001"/>
        </w:numPr>
        <w:pStyle w:val="Compact"/>
      </w:pPr>
      <w:hyperlink w:anchor="X70d0b6a249d45709d8205db3a1be1d6e821a6c6">
        <w:r>
          <w:rPr>
            <w:rStyle w:val="Hyperlink"/>
          </w:rPr>
          <w:t xml:space="preserve">Culturalization &amp; voice</w:t>
        </w:r>
      </w:hyperlink>
    </w:p>
    <w:p>
      <w:pPr>
        <w:numPr>
          <w:ilvl w:val="0"/>
          <w:numId w:val="1001"/>
        </w:numPr>
        <w:pStyle w:val="Compact"/>
      </w:pPr>
      <w:hyperlink w:anchor="X64b574c8e11bd4839bf89deebca013e656a16a8">
        <w:r>
          <w:rPr>
            <w:rStyle w:val="Hyperlink"/>
          </w:rPr>
          <w:t xml:space="preserve">Typography &amp; script coverage</w:t>
        </w:r>
      </w:hyperlink>
    </w:p>
    <w:p>
      <w:pPr>
        <w:numPr>
          <w:ilvl w:val="0"/>
          <w:numId w:val="1001"/>
        </w:numPr>
        <w:pStyle w:val="Compact"/>
      </w:pPr>
      <w:hyperlink w:anchor="Xa8b18a877faa5caa4985c7c98535f84115af171">
        <w:r>
          <w:rPr>
            <w:rStyle w:val="Hyperlink"/>
          </w:rPr>
          <w:t xml:space="preserve">UI constraints on a phone</w:t>
        </w:r>
      </w:hyperlink>
    </w:p>
    <w:p>
      <w:pPr>
        <w:numPr>
          <w:ilvl w:val="0"/>
          <w:numId w:val="1001"/>
        </w:numPr>
        <w:pStyle w:val="Compact"/>
      </w:pPr>
      <w:hyperlink w:anchor="X6a2bb927449e55bf0aa4aacbe0214371d59d73c">
        <w:r>
          <w:rPr>
            <w:rStyle w:val="Hyperlink"/>
          </w:rPr>
          <w:t xml:space="preserve">Pipeline &amp; tooling</w:t>
        </w:r>
      </w:hyperlink>
    </w:p>
    <w:p>
      <w:pPr>
        <w:numPr>
          <w:ilvl w:val="0"/>
          <w:numId w:val="1001"/>
        </w:numPr>
        <w:pStyle w:val="Compact"/>
      </w:pPr>
      <w:hyperlink w:anchor="Xdbb5bece043b4d874dbb9da787d5eefdd8b554f">
        <w:r>
          <w:rPr>
            <w:rStyle w:val="Hyperlink"/>
          </w:rPr>
          <w:t xml:space="preserve">QA &amp; LQA</w:t>
        </w:r>
      </w:hyperlink>
    </w:p>
    <w:p>
      <w:pPr>
        <w:numPr>
          <w:ilvl w:val="0"/>
          <w:numId w:val="1001"/>
        </w:numPr>
        <w:pStyle w:val="Compact"/>
      </w:pPr>
      <w:hyperlink w:anchor="Xdf329d08dd6b09f3c59ca1c2d9aa9f22cb58879">
        <w:r>
          <w:rPr>
            <w:rStyle w:val="Hyperlink"/>
          </w:rPr>
          <w:t xml:space="preserve">Effort &amp; sequencing</w:t>
        </w:r>
      </w:hyperlink>
    </w:p>
    <w:p>
      <w:pPr>
        <w:numPr>
          <w:ilvl w:val="0"/>
          <w:numId w:val="1001"/>
        </w:numPr>
        <w:pStyle w:val="Compact"/>
      </w:pPr>
      <w:hyperlink w:anchor="X7e7301148b2020173b582e028d1aa9bf878a070">
        <w:r>
          <w:rPr>
            <w:rStyle w:val="Hyperlink"/>
          </w:rPr>
          <w:t xml:space="preserve">Risks</w:t>
        </w:r>
      </w:hyperlink>
    </w:p>
    <w:p>
      <w:pPr>
        <w:numPr>
          <w:ilvl w:val="0"/>
          <w:numId w:val="1001"/>
        </w:numPr>
        <w:pStyle w:val="Compact"/>
      </w:pPr>
      <w:hyperlink w:anchor="X977a2b2e9e08ada6fc729022e651be1825b8b90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readiness-assessment"/>
      <w:r>
        <w:t xml:space="preserve">1. Readiness assessment</w:t>
      </w:r>
      <w:bookmarkEnd w:id="25"/>
    </w:p>
    <w:p>
      <w:pPr>
        <w:pStyle w:val="FirstParagraph"/>
      </w:pPr>
      <w:r>
        <w:rPr>
          <w:b/>
        </w:rPr>
        <w:t xml:space="preserve">Current state: English-only, fully hardcoded.</w:t>
      </w:r>
      <w:r>
        <w:t xml:space="preserve"> </w:t>
      </w:r>
      <w:r>
        <w:t xml:space="preserve">Every player-facing string is authored inline in</w:t>
      </w:r>
      <w:r>
        <w:t xml:space="preserve"> </w:t>
      </w:r>
      <w:r>
        <w:rPr>
          <w:rStyle w:val="VerbatimChar"/>
        </w:rPr>
        <w:t xml:space="preserve">src/DeadSignal.jsx</w:t>
      </w:r>
      <w:r>
        <w:t xml:space="preserve"> </w:t>
      </w:r>
      <w:r>
        <w:t xml:space="preserve">— inside the module-scope data pools (</w:t>
      </w:r>
      <w:r>
        <w:rPr>
          <w:rStyle w:val="VerbatimChar"/>
        </w:rPr>
        <w:t xml:space="preserve">INTRO_LINES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PATH_BEATS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EXPLORE_BEATS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HAVEN_*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ENCOUNTERS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BOARD_*</w:t>
      </w:r>
      <w:r>
        <w:t xml:space="preserve">, the finale/ending arrays, UI</w:t>
      </w:r>
      <w:r>
        <w:t xml:space="preserve"> </w:t>
      </w:r>
      <w:r>
        <w:t xml:space="preserve">labels) and in the render code. There is</w:t>
      </w:r>
      <w:r>
        <w:t xml:space="preserve"> </w:t>
      </w:r>
      <w:r>
        <w:rPr>
          <w:b/>
        </w:rPr>
        <w:t xml:space="preserve">no i18n scaffolding</w:t>
      </w:r>
      <w:r>
        <w:t xml:space="preserve"> </w:t>
      </w:r>
      <w:r>
        <w:t xml:space="preserve">— no string table, no locale</w:t>
      </w:r>
      <w:r>
        <w:t xml:space="preserve"> </w:t>
      </w:r>
      <w:r>
        <w:t xml:space="preserve">switch, no message-format layer.</w:t>
      </w:r>
    </w:p>
    <w:p>
      <w:pPr>
        <w:pStyle w:val="BodyText"/>
      </w:pPr>
      <w:r>
        <w:rPr>
          <w:b/>
        </w:rPr>
        <w:t xml:space="preserve">Scale.</w:t>
      </w:r>
      <w:r>
        <w:t xml:space="preserve"> </w:t>
      </w:r>
      <w:r>
        <w:t xml:space="preserve">The authored surface is large for a text game: on the order of</w:t>
      </w:r>
      <w:r>
        <w:t xml:space="preserve"> </w:t>
      </w:r>
      <w:r>
        <w:rPr>
          <w:b/>
        </w:rPr>
        <w:t xml:space="preserve">several hundred string</w:t>
      </w:r>
      <w:r>
        <w:rPr>
          <w:b/>
        </w:rPr>
        <w:t xml:space="preserve"> </w:t>
      </w:r>
      <w:r>
        <w:rPr>
          <w:b/>
        </w:rPr>
        <w:t xml:space="preserve">literals</w:t>
      </w:r>
      <w:r>
        <w:t xml:space="preserve"> </w:t>
      </w:r>
      <w:r>
        <w:t xml:space="preserve">(the data pools alone carry hundreds of</w:t>
      </w:r>
      <w:r>
        <w:t xml:space="preserve"> </w:t>
      </w:r>
      <w:r>
        <w:rPr>
          <w:rStyle w:val="VerbatimChar"/>
        </w:rPr>
        <w:t xml:space="preserve">msgs</w:t>
      </w:r>
      <w:r>
        <w:t xml:space="preserve">/</w:t>
      </w:r>
      <w:r>
        <w:rPr>
          <w:rStyle w:val="VerbatimChar"/>
        </w:rPr>
        <w:t xml:space="preserve">choices</w:t>
      </w:r>
      <w:r>
        <w:t xml:space="preserve">/</w:t>
      </w:r>
      <w:r>
        <w:rPr>
          <w:rStyle w:val="VerbatimChar"/>
        </w:rPr>
        <w:t xml:space="preserve">text</w:t>
      </w:r>
      <w:r>
        <w:t xml:space="preserve">/</w:t>
      </w:r>
      <w:r>
        <w:rPr>
          <w:rStyle w:val="VerbatimChar"/>
        </w:rPr>
        <w:t xml:space="preserve">name</w:t>
      </w:r>
      <w:r>
        <w:t xml:space="preserve">/</w:t>
      </w:r>
      <w:r>
        <w:rPr>
          <w:rStyle w:val="VerbatimChar"/>
        </w:rPr>
        <w:t xml:space="preserve">note</w:t>
      </w:r>
      <w:r>
        <w:t xml:space="preserve"> </w:t>
      </w:r>
      <w:r>
        <w:t xml:space="preserve">entries),</w:t>
      </w:r>
      <w:r>
        <w:t xml:space="preserve"> </w:t>
      </w:r>
      <w:r>
        <w:t xml:space="preserve">plus UI chrome (menus, HUD registers, Options, Case File labels). This is the product — it is</w:t>
      </w:r>
      <w:r>
        <w:t xml:space="preserve"> </w:t>
      </w:r>
      <w:r>
        <w:t xml:space="preserve">text-dense by nature.</w:t>
      </w:r>
    </w:p>
    <w:p>
      <w:pPr>
        <w:pStyle w:val="BodyText"/>
      </w:pPr>
      <w:r>
        <w:rPr>
          <w:b/>
        </w:rPr>
        <w:t xml:space="preserve">Implication.</w:t>
      </w:r>
      <w:r>
        <w:t xml:space="preserve"> </w:t>
      </w:r>
      <w:r>
        <w:t xml:space="preserve">Localization is</w:t>
      </w:r>
      <w:r>
        <w:t xml:space="preserve"> </w:t>
      </w:r>
      <w:r>
        <w:rPr>
          <w:b/>
        </w:rPr>
        <w:t xml:space="preserve">not a translation task first; it is a refactor first.</w:t>
      </w:r>
      <w:r>
        <w:t xml:space="preserve"> </w:t>
      </w:r>
      <w:r>
        <w:t xml:space="preserve">Until</w:t>
      </w:r>
      <w:r>
        <w:t xml:space="preserve"> </w:t>
      </w:r>
      <w:r>
        <w:t xml:space="preserve">strings are externalized, there is nothing for a translator to touch. This document treats</w:t>
      </w:r>
      <w:r>
        <w:t xml:space="preserve"> </w:t>
      </w:r>
      <w:r>
        <w:t xml:space="preserve">externalization as milestone zero.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he-critical-path-string-externalization"/>
      <w:r>
        <w:t xml:space="preserve">2. The critical path: string externalization</w:t>
      </w:r>
      <w:bookmarkEnd w:id="26"/>
    </w:p>
    <w:p>
      <w:pPr>
        <w:pStyle w:val="FirstParagraph"/>
      </w:pPr>
      <w:r>
        <w:t xml:space="preserve">Extract every player-facing string out of</w:t>
      </w:r>
      <w:r>
        <w:t xml:space="preserve"> </w:t>
      </w:r>
      <w:r>
        <w:rPr>
          <w:rStyle w:val="VerbatimChar"/>
        </w:rPr>
        <w:t xml:space="preserve">DeadSignal.jsx</w:t>
      </w:r>
      <w:r>
        <w:t xml:space="preserve"> </w:t>
      </w:r>
      <w:r>
        <w:t xml:space="preserve">into a</w:t>
      </w:r>
      <w:r>
        <w:t xml:space="preserve"> </w:t>
      </w:r>
      <w:r>
        <w:rPr>
          <w:b/>
        </w:rPr>
        <w:t xml:space="preserve">locale catalog</w:t>
      </w:r>
      <w:r>
        <w:t xml:space="preserve">, and have the</w:t>
      </w:r>
      <w:r>
        <w:t xml:space="preserve"> </w:t>
      </w:r>
      <w:r>
        <w:t xml:space="preserve">game read from it by key.</w:t>
      </w:r>
    </w:p>
    <w:p>
      <w:pPr>
        <w:pStyle w:val="BodyText"/>
      </w:pPr>
      <w:r>
        <w:rPr>
          <w:b/>
        </w:rPr>
        <w:t xml:space="preserve">Approach (recommended):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Inventory &amp; tag.</w:t>
      </w:r>
      <w:r>
        <w:t xml:space="preserve"> </w:t>
      </w:r>
      <w:r>
        <w:t xml:space="preserve">Sweep the data pools + render layer; mark each string as</w:t>
      </w:r>
      <w:r>
        <w:t xml:space="preserve"> </w:t>
      </w:r>
      <w:r>
        <w:rPr>
          <w:i/>
        </w:rPr>
        <w:t xml:space="preserve">content</w:t>
      </w:r>
      <w:r>
        <w:t xml:space="preserve"> </w:t>
      </w:r>
      <w:r>
        <w:t xml:space="preserve">(story</w:t>
      </w:r>
      <w:r>
        <w:t xml:space="preserve"> </w:t>
      </w:r>
      <w:r>
        <w:t xml:space="preserve">beats, Ellie/narrator lines) vs</w:t>
      </w:r>
      <w:r>
        <w:t xml:space="preserve"> </w:t>
      </w:r>
      <w:r>
        <w:rPr>
          <w:i/>
        </w:rPr>
        <w:t xml:space="preserve">chrome</w:t>
      </w:r>
      <w:r>
        <w:t xml:space="preserve"> </w:t>
      </w:r>
      <w:r>
        <w:t xml:space="preserve">(menus, HUD, labels). Content and chrome localize</w:t>
      </w:r>
      <w:r>
        <w:t xml:space="preserve"> </w:t>
      </w:r>
      <w:r>
        <w:t xml:space="preserve">differently (content is voiced; chrome is terse and length-critical).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Key every string.</w:t>
      </w:r>
      <w:r>
        <w:t xml:space="preserve"> </w:t>
      </w:r>
      <w:r>
        <w:t xml:space="preserve">Give each a stable key (§3). Story beats key by their existing structure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beat.hospital.leg1.enc2.msg[0]</w:t>
      </w:r>
      <w:r>
        <w:t xml:space="preserve">), chrome by function (</w:t>
      </w:r>
      <w:r>
        <w:rPr>
          <w:rStyle w:val="VerbatimChar"/>
        </w:rPr>
        <w:t xml:space="preserve">ui.menu.start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Externalize to</w:t>
      </w:r>
      <w:r>
        <w:rPr>
          <w:b/>
        </w:rPr>
        <w:t xml:space="preserve"> </w:t>
      </w:r>
      <w:r>
        <w:rPr>
          <w:rStyle w:val="VerbatimChar"/>
          <w:b/>
        </w:rPr>
        <w:t xml:space="preserve">en</w:t>
      </w:r>
      <w:r>
        <w:rPr>
          <w:b/>
        </w:rPr>
        <w:t xml:space="preserve"> </w:t>
      </w:r>
      <w:r>
        <w:rPr>
          <w:b/>
        </w:rPr>
        <w:t xml:space="preserve">catalog.</w:t>
      </w:r>
      <w:r>
        <w:t xml:space="preserve"> </w:t>
      </w:r>
      <w:r>
        <w:t xml:space="preserve">Move the strings into a base-language catalog file(s); replace</w:t>
      </w:r>
      <w:r>
        <w:t xml:space="preserve"> </w:t>
      </w:r>
      <w:r>
        <w:t xml:space="preserve">inline literals with key lookups via a tiny</w:t>
      </w:r>
      <w:r>
        <w:t xml:space="preserve"> </w:t>
      </w:r>
      <w:r>
        <w:rPr>
          <w:rStyle w:val="VerbatimChar"/>
        </w:rPr>
        <w:t xml:space="preserve">t(key)</w:t>
      </w:r>
      <w:r>
        <w:t xml:space="preserve"> </w:t>
      </w:r>
      <w:r>
        <w:t xml:space="preserve">helper.</w:t>
      </w:r>
      <w:r>
        <w:t xml:space="preserve"> </w:t>
      </w:r>
      <w:r>
        <w:rPr>
          <w:b/>
        </w:rPr>
        <w:t xml:space="preserve">The game must play identically</w:t>
      </w:r>
      <w:r>
        <w:rPr>
          <w:b/>
        </w:rPr>
        <w:t xml:space="preserve"> </w:t>
      </w:r>
      <w:r>
        <w:rPr>
          <w:b/>
        </w:rPr>
        <w:t xml:space="preserve">after this step</w:t>
      </w:r>
      <w:r>
        <w:t xml:space="preserve"> </w:t>
      </w:r>
      <w:r>
        <w:t xml:space="preserve">(English from the catalog) — that’s the checkpoint (mirrors the</w:t>
      </w:r>
      <w:r>
        <w:t xml:space="preserve"> </w:t>
      </w:r>
      <w:r>
        <w:t xml:space="preserve">“</w:t>
      </w:r>
      <w:r>
        <w:t xml:space="preserve">never break the</w:t>
      </w:r>
      <w:r>
        <w:t xml:space="preserve"> </w:t>
      </w:r>
      <w:r>
        <w:t xml:space="preserve">build</w:t>
      </w:r>
      <w:r>
        <w:t xml:space="preserve">”</w:t>
      </w:r>
      <w:r>
        <w:t xml:space="preserve"> </w:t>
      </w:r>
      <w:r>
        <w:t xml:space="preserve">rule from</w:t>
      </w:r>
      <w:r>
        <w:t xml:space="preserve"> </w:t>
      </w:r>
      <w:hyperlink r:id="rId27">
        <w:r>
          <w:rPr>
            <w:rStyle w:val="VerbatimChar"/>
          </w:rPr>
          <w:t xml:space="preserve">PLAN.md</w:t>
        </w:r>
      </w:hyperlink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Only then</w:t>
      </w:r>
      <w:r>
        <w:t xml:space="preserve"> </w:t>
      </w:r>
      <w:r>
        <w:t xml:space="preserve">are other locales just additional catalogs.</w:t>
      </w:r>
    </w:p>
    <w:p>
      <w:pPr>
        <w:pStyle w:val="FirstParagraph"/>
      </w:pPr>
      <w:r>
        <w:rPr>
          <w:b/>
        </w:rPr>
        <w:t xml:space="preserve">Determinism is preserved.</w:t>
      </w:r>
      <w:r>
        <w:t xml:space="preserve"> </w:t>
      </w:r>
      <w:r>
        <w:t xml:space="preserve">Catalogs are static local assets bundled at build — no network, no</w:t>
      </w:r>
      <w:r>
        <w:t xml:space="preserve"> </w:t>
      </w:r>
      <w:r>
        <w:t xml:space="preserve">runtime fetch (respects PRD NFR-1). Locale is chosen from device/browser language with a manual</w:t>
      </w:r>
      <w:r>
        <w:t xml:space="preserve"> </w:t>
      </w:r>
      <w:r>
        <w:t xml:space="preserve">override in Options.</w:t>
      </w:r>
    </w:p>
    <w:p>
      <w:pPr>
        <w:pStyle w:val="BlockText"/>
      </w:pPr>
      <w:r>
        <w:rPr>
          <w:b/>
        </w:rPr>
        <w:t xml:space="preserve">Expansion v2 · build: PLANNED — the Phase-3 surface roughly doubles.</w:t>
      </w:r>
      <w:r>
        <w:t xml:space="preserve"> </w:t>
      </w:r>
      <w:r>
        <w:t xml:space="preserve">The Expansion v2 narrative</w:t>
      </w:r>
      <w:r>
        <w:t xml:space="preserve"> </w:t>
      </w:r>
      <w:r>
        <w:t xml:space="preserve">pass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§3/§5/§8 + Changelog — Expansion v2) adds a large block of</w:t>
      </w:r>
      <w:r>
        <w:t xml:space="preserve"> </w:t>
      </w:r>
      <w:r>
        <w:rPr>
          <w:i/>
        </w:rPr>
        <w:t xml:space="preserve">new translatable</w:t>
      </w:r>
      <w:r>
        <w:rPr>
          <w:i/>
        </w:rPr>
        <w:t xml:space="preserve"> </w:t>
      </w:r>
      <w:r>
        <w:rPr>
          <w:i/>
        </w:rPr>
        <w:t xml:space="preserve">content</w:t>
      </w:r>
      <w:r>
        <w:t xml:space="preserve">:</w:t>
      </w:r>
      <w:r>
        <w:t xml:space="preserve"> </w:t>
      </w:r>
      <w:r>
        <w:rPr>
          <w:b/>
        </w:rPr>
        <w:t xml:space="preserve">~14 Echo fragments</w:t>
      </w:r>
      <w:r>
        <w:t xml:space="preserve"> </w:t>
      </w:r>
      <w:r>
        <w:t xml:space="preserve">(2–4 lines each, the 7-face cast),</w:t>
      </w:r>
      <w:r>
        <w:t xml:space="preserve"> </w:t>
      </w:r>
      <w:r>
        <w:rPr>
          <w:b/>
        </w:rPr>
        <w:t xml:space="preserve">~30 new Phase-3 node</w:t>
      </w:r>
      <w:r>
        <w:rPr>
          <w:b/>
        </w:rPr>
        <w:t xml:space="preserve"> </w:t>
      </w:r>
      <w:r>
        <w:rPr>
          <w:b/>
        </w:rPr>
        <w:t xml:space="preserve">onEnter/atmosphere strings</w:t>
      </w:r>
      <w:r>
        <w:t xml:space="preserve"> </w:t>
      </w:r>
      <w:r>
        <w:t xml:space="preserve">(region sub-stories; Phase 3 text roughly</w:t>
      </w:r>
      <w:r>
        <w:t xml:space="preserve"> </w:t>
      </w:r>
      <w:r>
        <w:rPr>
          <w:b/>
        </w:rPr>
        <w:t xml:space="preserve">doubles</w:t>
      </w:r>
      <w:r>
        <w:t xml:space="preserve">, ~35 → ~65</w:t>
      </w:r>
      <w:r>
        <w:t xml:space="preserve"> </w:t>
      </w:r>
      <w:r>
        <w:t xml:space="preserve">nodes), the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unchosen</w:t>
      </w:r>
      <w:r>
        <w:rPr>
          <w:b/>
        </w:rPr>
        <w:t xml:space="preserve">”</w:t>
      </w:r>
      <w:r>
        <w:t xml:space="preserve"> </w:t>
      </w:r>
      <w:r>
        <w:t xml:space="preserve">strings (City Hall selection/petitions/dissent) with the</w:t>
      </w:r>
      <w:r>
        <w:t xml:space="preserve"> </w:t>
      </w:r>
      <w:r>
        <w:rPr>
          <w:b/>
        </w:rPr>
        <w:t xml:space="preserve">evolving Case</w:t>
      </w:r>
      <w:r>
        <w:rPr>
          <w:b/>
        </w:rPr>
        <w:t xml:space="preserve"> </w:t>
      </w:r>
      <w:r>
        <w:rPr>
          <w:b/>
        </w:rPr>
        <w:t xml:space="preserve">File question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why only 143?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who did you leave out — and why?</w:t>
      </w:r>
      <w:r>
        <w:t xml:space="preserve">), the</w:t>
      </w:r>
      <w:r>
        <w:t xml:space="preserve"> </w:t>
      </w:r>
      <w:r>
        <w:rPr>
          <w:b/>
        </w:rPr>
        <w:t xml:space="preserve">prologue second-act</w:t>
      </w:r>
      <w:r>
        <w:t xml:space="preserve"> </w:t>
      </w:r>
      <w:r>
        <w:t xml:space="preserve">strings (route midpoints, the shelter scene, extra Ellie cracks), and one new Case File category</w:t>
      </w:r>
      <w:r>
        <w:t xml:space="preserve"> </w:t>
      </w:r>
      <w:r>
        <w:t xml:space="preserve">label</w:t>
      </w:r>
      <w:r>
        <w:t xml:space="preserve"> </w:t>
      </w:r>
      <w:r>
        <w:rPr>
          <w:rStyle w:val="VerbatimChar"/>
          <w:b/>
        </w:rPr>
        <w:t xml:space="preserve">ECHOES</w:t>
      </w:r>
      <w:r>
        <w:t xml:space="preserve">.</w:t>
      </w:r>
      <w:r>
        <w:t xml:space="preserve"> </w:t>
      </w:r>
      <w:r>
        <w:rPr>
          <w:b/>
        </w:rPr>
        <w:t xml:space="preserve">Critical-path implication:</w:t>
      </w:r>
      <w:r>
        <w:t xml:space="preserve"> </w:t>
      </w:r>
      <w:r>
        <w:t xml:space="preserve">externalization (M-LOC0) is</w:t>
      </w:r>
      <w:r>
        <w:t xml:space="preserve"> </w:t>
      </w:r>
      <w:r>
        <w:rPr>
          <w:i/>
        </w:rPr>
        <w:t xml:space="preserve">still</w:t>
      </w:r>
      <w:r>
        <w:t xml:space="preserve"> </w:t>
      </w:r>
      <w:r>
        <w:t xml:space="preserve">the gate, and</w:t>
      </w:r>
      <w:r>
        <w:t xml:space="preserve"> </w:t>
      </w:r>
      <w:r>
        <w:t xml:space="preserve">it must land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this content is authored into the build. If the ~2× of new Phase-3 text is</w:t>
      </w:r>
      <w:r>
        <w:t xml:space="preserve"> </w:t>
      </w:r>
      <w:r>
        <w:t xml:space="preserve">written back into inline literals in</w:t>
      </w:r>
      <w:r>
        <w:t xml:space="preserve"> </w:t>
      </w:r>
      <w:r>
        <w:rPr>
          <w:rStyle w:val="VerbatimChar"/>
        </w:rPr>
        <w:t xml:space="preserve">DeadSignal.jsx</w:t>
      </w:r>
      <w:r>
        <w:t xml:space="preserve">, the extraction debt compounds — the milestone-</w:t>
      </w:r>
      <w:r>
        <w:t xml:space="preserve"> </w:t>
      </w:r>
      <w:r>
        <w:t xml:space="preserve">zero refactor grows against a moving target. Externalize first, then let the Expansion v2 content</w:t>
      </w:r>
      <w:r>
        <w:t xml:space="preserve"> </w:t>
      </w:r>
      <w:r>
        <w:t xml:space="preserve">land as keyed strings from day one. (No code exists for any of this yet; all of it is design-only.)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tring-architecture"/>
      <w:r>
        <w:t xml:space="preserve">3. String architecture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Format.</w:t>
      </w:r>
      <w:r>
        <w:t xml:space="preserve"> </w:t>
      </w:r>
      <w:r>
        <w:t xml:space="preserve">A flat or lightly-nested key→string map per locale (JSON is the pragmatic choice; it</w:t>
      </w:r>
      <w:r>
        <w:t xml:space="preserve"> </w:t>
      </w:r>
      <w:r>
        <w:t xml:space="preserve">diffs well and every TMS speaks it). One base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catalog is the source of truth translators work</w:t>
      </w:r>
      <w:r>
        <w:t xml:space="preserve"> </w:t>
      </w:r>
      <w:r>
        <w:t xml:space="preserve">from.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Key schema.</w:t>
      </w:r>
      <w:r>
        <w:t xml:space="preserve"> </w:t>
      </w:r>
      <w:r>
        <w:rPr>
          <w:rStyle w:val="VerbatimChar"/>
        </w:rPr>
        <w:t xml:space="preserve">&lt;domain&gt;.&lt;area&gt;.&lt;id&gt;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story.haven.final.call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ui.hud.battery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casefile.question.kim</w:t>
      </w:r>
      <w:r>
        <w:t xml:space="preserve">,</w:t>
      </w:r>
      <w:r>
        <w:t xml:space="preserve"> </w:t>
      </w:r>
      <w:r>
        <w:rPr>
          <w:rStyle w:val="VerbatimChar"/>
        </w:rPr>
        <w:t xml:space="preserve">ending.accept.line3</w:t>
      </w:r>
      <w:r>
        <w:t xml:space="preserve">. Keys are English-descriptive and</w:t>
      </w:r>
      <w:r>
        <w:t xml:space="preserve"> </w:t>
      </w:r>
      <w:r>
        <w:rPr>
          <w:b/>
        </w:rPr>
        <w:t xml:space="preserve">never change</w:t>
      </w:r>
      <w:r>
        <w:rPr>
          <w:b/>
        </w:rPr>
        <w:t xml:space="preserve"> </w:t>
      </w:r>
      <w:r>
        <w:rPr>
          <w:b/>
        </w:rPr>
        <w:t xml:space="preserve">meaning</w:t>
      </w:r>
      <w:r>
        <w:t xml:space="preserve"> </w:t>
      </w:r>
      <w:r>
        <w:t xml:space="preserve">once shipped (changing a string = new key or a versioned key, so stale translations are</w:t>
      </w:r>
      <w:r>
        <w:t xml:space="preserve"> </w:t>
      </w:r>
      <w:r>
        <w:t xml:space="preserve">detectable).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Placeholders &amp; format.</w:t>
      </w:r>
      <w:r>
        <w:t xml:space="preserve"> </w:t>
      </w:r>
      <w:r>
        <w:t xml:space="preserve">Use a message-format standard (</w:t>
      </w:r>
      <w:r>
        <w:rPr>
          <w:b/>
        </w:rPr>
        <w:t xml:space="preserve">ICU MessageFormat</w:t>
      </w:r>
      <w:r>
        <w:t xml:space="preserve">) for any</w:t>
      </w:r>
      <w:r>
        <w:t xml:space="preserve"> </w:t>
      </w:r>
      <w:r>
        <w:t xml:space="preserve">interpolation (resource counts,</w:t>
      </w:r>
      <w:r>
        <w:t xml:space="preserve"> </w:t>
      </w:r>
      <w:r>
        <w:rPr>
          <w:rStyle w:val="VerbatimChar"/>
        </w:rPr>
        <w:t xml:space="preserve">[+N Food]</w:t>
      </w:r>
      <w:r>
        <w:t xml:space="preserve">,</w:t>
      </w:r>
      <w:r>
        <w:t xml:space="preserve"> </w:t>
      </w:r>
      <w:r>
        <w:rPr>
          <w:rStyle w:val="VerbatimChar"/>
        </w:rPr>
        <w:t xml:space="preserve">143</w:t>
      </w:r>
      <w:r>
        <w:t xml:space="preserve">) and for</w:t>
      </w:r>
      <w:r>
        <w:t xml:space="preserve"> </w:t>
      </w:r>
      <w:r>
        <w:rPr>
          <w:b/>
        </w:rPr>
        <w:t xml:space="preserve">plurals</w:t>
      </w:r>
      <w:r>
        <w:t xml:space="preserve"> </w:t>
      </w:r>
      <w:r>
        <w:t xml:space="preserve">— plural rules differ per</w:t>
      </w:r>
      <w:r>
        <w:t xml:space="preserve"> </w:t>
      </w:r>
      <w:r>
        <w:t xml:space="preserve">language (e.g. Slavic languages have 3–4 plural forms; battery</w:t>
      </w:r>
      <w:r>
        <w:t xml:space="preserve"> </w:t>
      </w:r>
      <w:r>
        <w:t xml:space="preserve">“</w:t>
      </w:r>
      <w:r>
        <w:t xml:space="preserve">%d%%</w:t>
      </w:r>
      <w:r>
        <w:t xml:space="preserve">”</w:t>
      </w:r>
      <w:r>
        <w:t xml:space="preserve"> </w:t>
      </w:r>
      <w:r>
        <w:t xml:space="preserve">is fine but any</w:t>
      </w:r>
      <w:r>
        <w:t xml:space="preserve"> </w:t>
      </w:r>
      <w:r>
        <w:t xml:space="preserve">“</w:t>
      </w:r>
      <w:r>
        <w:t xml:space="preserve">N items</w:t>
      </w:r>
      <w:r>
        <w:t xml:space="preserve">”</w:t>
      </w:r>
      <w:r>
        <w:t xml:space="preserve"> </w:t>
      </w:r>
      <w:r>
        <w:t xml:space="preserve">needs ICU). Keep placeholders named, not positional.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Registers as metadata.</w:t>
      </w:r>
      <w:r>
        <w:t xml:space="preserve"> </w:t>
      </w:r>
      <w:r>
        <w:t xml:space="preserve">Tag each content string with its</w:t>
      </w:r>
      <w:r>
        <w:t xml:space="preserve"> </w:t>
      </w:r>
      <w:r>
        <w:rPr>
          <w:b/>
        </w:rPr>
        <w:t xml:space="preserve">voice</w:t>
      </w:r>
      <w:r>
        <w:t xml:space="preserve"> </w:t>
      </w:r>
      <w:r>
        <w:t xml:space="preserve">(</w:t>
      </w:r>
      <w:r>
        <w:rPr>
          <w:rStyle w:val="VerbatimChar"/>
        </w:rPr>
        <w:t xml:space="preserve">ellie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narrator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player-choice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hud</w:t>
      </w:r>
      <w:r>
        <w:t xml:space="preserve">) so translators keep the register (§5) and so a per-locale style guide can</w:t>
      </w:r>
      <w:r>
        <w:t xml:space="preserve"> </w:t>
      </w:r>
      <w:r>
        <w:t xml:space="preserve">target them.</w:t>
      </w:r>
      <w:r>
        <w:t xml:space="preserve"> </w:t>
      </w:r>
      <w:r>
        <w:rPr>
          <w:b/>
        </w:rPr>
        <w:t xml:space="preserve">Expansion v2 (build: PLANNED)</w:t>
      </w:r>
      <w:r>
        <w:t xml:space="preserve"> </w:t>
      </w:r>
      <w:r>
        <w:t xml:space="preserve">adds an</w:t>
      </w:r>
      <w:r>
        <w:t xml:space="preserve"> </w:t>
      </w:r>
      <w:r>
        <w:rPr>
          <w:rStyle w:val="VerbatimChar"/>
          <w:b/>
        </w:rPr>
        <w:t xml:space="preserve">echo</w:t>
      </w:r>
      <w:r>
        <w:t xml:space="preserve"> </w:t>
      </w:r>
      <w:r>
        <w:t xml:space="preserve">voice tag for the recovered</w:t>
      </w:r>
      <w:r>
        <w:t xml:space="preserve"> </w:t>
      </w:r>
      <w:r>
        <w:t xml:space="preserve">fragments of the 142 minds — a distinct, terse, mid-thought register that must not be flattened into</w:t>
      </w:r>
      <w:r>
        <w:t xml:space="preserve"> </w:t>
      </w:r>
      <w:r>
        <w:rPr>
          <w:rStyle w:val="VerbatimChar"/>
        </w:rPr>
        <w:t xml:space="preserve">narrator</w:t>
      </w:r>
      <w:r>
        <w:t xml:space="preserve"> </w:t>
      </w:r>
      <w:r>
        <w:t xml:space="preserve">(§5.1).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What NOT to externalize.</w:t>
      </w:r>
      <w:r>
        <w:t xml:space="preserve"> </w:t>
      </w:r>
      <w:r>
        <w:t xml:space="preserve">Purely numeric/</w:t>
      </w:r>
      <w:r>
        <w:rPr>
          <w:rStyle w:val="VerbatimChar"/>
        </w:rPr>
        <w:t xml:space="preserve">·</w:t>
      </w:r>
      <w:r>
        <w:t xml:space="preserve"> </w:t>
      </w:r>
      <w:r>
        <w:t xml:space="preserve">continuation tokens, internal ids, the</w:t>
      </w:r>
      <w:r>
        <w:t xml:space="preserve"> </w:t>
      </w:r>
      <w:r>
        <w:rPr>
          <w:rStyle w:val="VerbatimChar"/>
        </w:rPr>
        <w:t xml:space="preserve">143</w:t>
      </w:r>
      <w:r>
        <w:t xml:space="preserve"> </w:t>
      </w:r>
      <w:r>
        <w:t xml:space="preserve">number itself (it is a number, not a word — §5), and debug strings.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target-languages-tiers"/>
      <w:r>
        <w:t xml:space="preserve">4. Target languages &amp; tiers</w:t>
      </w:r>
      <w:bookmarkEnd w:id="29"/>
    </w:p>
    <w:p>
      <w:pPr>
        <w:pStyle w:val="FirstParagraph"/>
      </w:pPr>
      <w:r>
        <w:t xml:space="preserve">A proposed rollout. Final selection is a business decision (PRD open question) driven by the target</w:t>
      </w:r>
      <w:r>
        <w:t xml:space="preserve"> </w:t>
      </w:r>
      <w:r>
        <w:t xml:space="preserve">markets and the distribution channel.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Pilot</w:t>
            </w:r>
          </w:p>
        </w:tc>
        <w:tc>
          <w:p>
            <w:pPr>
              <w:pStyle w:val="Compact"/>
              <w:jc w:val="left"/>
            </w:pPr>
            <w:r>
              <w:t xml:space="preserve">1 language (suggest</w:t>
            </w:r>
            <w:r>
              <w:t xml:space="preserve"> </w:t>
            </w:r>
            <w:r>
              <w:rPr>
                <w:b/>
              </w:rPr>
              <w:t xml:space="preserve">Spanish, es-419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</w:rPr>
              <w:t xml:space="preserve">French, fr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Latin script (no new font), large audience, validates the whole pipeline cheaply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1</w:t>
            </w:r>
          </w:p>
        </w:tc>
        <w:tc>
          <w:p>
            <w:pPr>
              <w:pStyle w:val="Compact"/>
              <w:jc w:val="left"/>
            </w:pPr>
            <w:r>
              <w:t xml:space="preserve">FR, DE, ES-419, PT-BR, IT</w:t>
            </w:r>
          </w:p>
        </w:tc>
        <w:tc>
          <w:p>
            <w:pPr>
              <w:pStyle w:val="Compact"/>
              <w:jc w:val="left"/>
            </w:pPr>
            <w:r>
              <w:t xml:space="preserve">Latin-script, high-ROI Western markets; all covered by the current font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2</w:t>
            </w:r>
          </w:p>
        </w:tc>
        <w:tc>
          <w:p>
            <w:pPr>
              <w:pStyle w:val="Compact"/>
              <w:jc w:val="left"/>
            </w:pPr>
            <w:r>
              <w:t xml:space="preserve">JA, ZH-Hans, KO, RU</w:t>
            </w:r>
          </w:p>
        </w:tc>
        <w:tc>
          <w:p>
            <w:pPr>
              <w:pStyle w:val="Compact"/>
              <w:jc w:val="left"/>
            </w:pPr>
            <w:r>
              <w:t xml:space="preserve">High-value but each adds</w:t>
            </w:r>
            <w:r>
              <w:t xml:space="preserve"> </w:t>
            </w:r>
            <w:r>
              <w:rPr>
                <w:b/>
              </w:rPr>
              <w:t xml:space="preserve">script/font work</w:t>
            </w:r>
            <w:r>
              <w:t xml:space="preserve"> </w:t>
            </w:r>
            <w:r>
              <w:t xml:space="preserve">(CJK, Cyrillic) — see §6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3+</w:t>
            </w:r>
          </w:p>
        </w:tc>
        <w:tc>
          <w:p>
            <w:pPr>
              <w:pStyle w:val="Compact"/>
              <w:jc w:val="left"/>
            </w:pPr>
            <w:r>
              <w:t xml:space="preserve">ZH-Hant, PL, TR, others</w:t>
            </w:r>
          </w:p>
        </w:tc>
        <w:tc>
          <w:p>
            <w:pPr>
              <w:pStyle w:val="Compact"/>
              <w:jc w:val="left"/>
            </w:pPr>
            <w:r>
              <w:t xml:space="preserve">Demand-driven expansion</w:t>
            </w:r>
          </w:p>
        </w:tc>
      </w:tr>
    </w:tbl>
    <w:p>
      <w:pPr>
        <w:pStyle w:val="BodyText"/>
      </w:pPr>
      <w:r>
        <w:rPr>
          <w:b/>
        </w:rPr>
        <w:t xml:space="preserve">Sequencing logic:</w:t>
      </w:r>
      <w:r>
        <w:t xml:space="preserve"> </w:t>
      </w:r>
      <w:r>
        <w:t xml:space="preserve">prove the pipeline on one Latin language, ship Tier 1 (no font changes), then</w:t>
      </w:r>
      <w:r>
        <w:t xml:space="preserve"> </w:t>
      </w:r>
      <w:r>
        <w:t xml:space="preserve">take on Tier 2 where each language carries extra typographic cost. Interactive-fiction audiences</w:t>
      </w:r>
      <w:r>
        <w:t xml:space="preserve"> </w:t>
      </w:r>
      <w:r>
        <w:t xml:space="preserve">skew toward EN/JA/ZH/DE/FR/RU, so Tier 2 is where much of the remaining reach is — plan for it, don’t</w:t>
      </w:r>
      <w:r>
        <w:t xml:space="preserve"> </w:t>
      </w:r>
      <w:r>
        <w:t xml:space="preserve">front-load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ulturalization-voice"/>
      <w:r>
        <w:t xml:space="preserve">5. Culturalization &amp; voice</w:t>
      </w:r>
      <w:bookmarkEnd w:id="30"/>
    </w:p>
    <w:p>
      <w:pPr>
        <w:pStyle w:val="FirstParagraph"/>
      </w:pPr>
      <w:r>
        <w:t xml:space="preserve">The traps that a straight translation would break. These need</w:t>
      </w:r>
      <w:r>
        <w:t xml:space="preserve"> </w:t>
      </w:r>
      <w:r>
        <w:rPr>
          <w:b/>
        </w:rPr>
        <w:t xml:space="preserve">per-locale creative decisions</w:t>
      </w:r>
      <w:r>
        <w:t xml:space="preserve">, not</w:t>
      </w:r>
      <w:r>
        <w:t xml:space="preserve"> </w:t>
      </w:r>
      <w:r>
        <w:t xml:space="preserve">literal translation.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rStyle w:val="VerbatimChar"/>
          <w:b/>
        </w:rPr>
        <w:t xml:space="preserve">143</w:t>
      </w:r>
      <w:r>
        <w:rPr>
          <w:b/>
        </w:rPr>
        <w:t xml:space="preserve"> </w:t>
      </w:r>
      <w:r>
        <w:rPr>
          <w:b/>
        </w:rPr>
        <w:t xml:space="preserve">motif — mostly safe, one nuance.</w:t>
      </w:r>
      <w:r>
        <w:t xml:space="preserve"> </w:t>
      </w:r>
      <w:r>
        <w:t xml:space="preserve">In-game,</w:t>
      </w:r>
      <w:r>
        <w:t xml:space="preserve"> </w:t>
      </w:r>
      <w:r>
        <w:rPr>
          <w:b/>
        </w:rPr>
        <w:t xml:space="preserve">143 is the resident count</w:t>
      </w:r>
      <w:r>
        <w:t xml:space="preserve"> </w:t>
      </w:r>
      <w:r>
        <w:t xml:space="preserve">(the status</w:t>
      </w:r>
      <w:r>
        <w:t xml:space="preserve"> </w:t>
      </w:r>
      <w:r>
        <w:t xml:space="preserve">board, the bunks, the player’s held slot). As a</w:t>
      </w:r>
      <w:r>
        <w:t xml:space="preserve"> </w:t>
      </w:r>
      <w:r>
        <w:rPr>
          <w:i/>
        </w:rPr>
        <w:t xml:space="preserve">number</w:t>
      </w:r>
      <w:r>
        <w:t xml:space="preserve"> </w:t>
      </w:r>
      <w:r>
        <w:t xml:space="preserve">it is universal and must stay</w:t>
      </w:r>
      <w:r>
        <w:t xml:space="preserve"> </w:t>
      </w:r>
      <w:r>
        <w:rPr>
          <w:rStyle w:val="VerbatimChar"/>
        </w:rPr>
        <w:t xml:space="preserve">143</w:t>
      </w:r>
      <w:r>
        <w:t xml:space="preserve"> </w:t>
      </w:r>
      <w:r>
        <w:t xml:space="preserve">everywhere. The</w:t>
      </w:r>
      <w:r>
        <w:t xml:space="preserve"> </w:t>
      </w:r>
      <w:r>
        <w:rPr>
          <w:i/>
        </w:rPr>
        <w:t xml:space="preserve">cultural resonance</w:t>
      </w:r>
      <w:r>
        <w:t xml:space="preserve"> </w:t>
      </w:r>
      <w:r>
        <w:t xml:space="preserve">— 143 as pager/text shorthand for</w:t>
      </w:r>
      <w:r>
        <w:t xml:space="preserve"> </w:t>
      </w:r>
      <w:r>
        <w:t xml:space="preserve">“</w:t>
      </w:r>
      <w:r>
        <w:t xml:space="preserve">I love you</w:t>
      </w:r>
      <w:r>
        <w:t xml:space="preserve">”</w:t>
      </w:r>
      <w:r>
        <w:t xml:space="preserve"> </w:t>
      </w:r>
      <w:r>
        <w:t xml:space="preserve">(letter counts</w:t>
      </w:r>
      <w:r>
        <w:t xml:space="preserve"> </w:t>
      </w:r>
      <w:r>
        <w:t xml:space="preserve">1-4-3) — is an</w:t>
      </w:r>
      <w:r>
        <w:t xml:space="preserve"> </w:t>
      </w:r>
      <w:r>
        <w:rPr>
          <w:b/>
        </w:rPr>
        <w:t xml:space="preserve">English-culture Easter egg</w:t>
      </w:r>
      <w:r>
        <w:t xml:space="preserve">, not load-bearing. Do not try to localize it; just</w:t>
      </w:r>
      <w:r>
        <w:t xml:space="preserve"> </w:t>
      </w:r>
      <w:r>
        <w:t xml:space="preserve">ensure no translated line leans on the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 </w:t>
      </w:r>
      <w:r>
        <w:t xml:space="preserve">reading. Document it so translators understand why</w:t>
      </w:r>
      <w:r>
        <w:t xml:space="preserve"> </w:t>
      </w:r>
      <w:r>
        <w:t xml:space="preserve">the number is fixed.</w:t>
      </w:r>
      <w:r>
        <w:t xml:space="preserve"> </w:t>
      </w:r>
      <w:r>
        <w:rPr>
          <w:b/>
        </w:rPr>
        <w:t xml:space="preserve">Expansion v2 note (build: PLANNED):</w:t>
      </w:r>
      <w:r>
        <w:t xml:space="preserve"> </w:t>
      </w:r>
      <w:r>
        <w:t xml:space="preserve">the motif now also underpins</w:t>
      </w:r>
      <w:r>
        <w:t xml:space="preserve"> </w:t>
      </w:r>
      <w:r>
        <w:rPr>
          <w:b/>
        </w:rPr>
        <w:t xml:space="preserve">Echo /</w:t>
      </w:r>
      <w:r>
        <w:rPr>
          <w:b/>
        </w:rPr>
        <w:t xml:space="preserve"> </w:t>
      </w:r>
      <w:r>
        <w:rPr>
          <w:b/>
        </w:rPr>
        <w:t xml:space="preserve">roster content</w:t>
      </w:r>
      <w:r>
        <w:t xml:space="preserve"> </w:t>
      </w:r>
      <w:r>
        <w:t xml:space="preserve">— the 143 is a</w:t>
      </w:r>
      <w:r>
        <w:t xml:space="preserve"> </w:t>
      </w:r>
      <w:r>
        <w:rPr>
          <w:i/>
        </w:rPr>
        <w:t xml:space="preserve">count of people</w:t>
      </w:r>
      <w:r>
        <w:t xml:space="preserve"> </w:t>
      </w:r>
      <w:r>
        <w:t xml:space="preserve">(bunk 143 = Kim’s empty refused bunk, the roster</w:t>
      </w:r>
      <w:r>
        <w:t xml:space="preserve"> </w:t>
      </w:r>
      <w:r>
        <w:t xml:space="preserve">the architect signed, the evolving</w:t>
      </w:r>
      <w:r>
        <w:t xml:space="preserve"> </w:t>
      </w:r>
      <w:r>
        <w:rPr>
          <w:rStyle w:val="VerbatimChar"/>
        </w:rPr>
        <w:t xml:space="preserve">why only 143?</w:t>
      </w:r>
      <w:r>
        <w:t xml:space="preserve"> </w:t>
      </w:r>
      <w:r>
        <w:t xml:space="preserve">question). Keep it fixed as a number there too;</w:t>
      </w:r>
      <w:r>
        <w:t xml:space="preserve"> </w:t>
      </w:r>
      <w:r>
        <w:t xml:space="preserve">the watch-item is unchanged but its footprint grows.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KIM → ELLIE</w:t>
      </w:r>
      <w:r>
        <w:rPr>
          <w:b/>
        </w:rPr>
        <w:t xml:space="preserve"> </w:t>
      </w:r>
      <w:r>
        <w:rPr>
          <w:b/>
        </w:rPr>
        <w:t xml:space="preserve">contact-name flip.</w:t>
      </w:r>
      <w:r>
        <w:t xml:space="preserve"> </w:t>
      </w:r>
      <w:r>
        <w:t xml:space="preserve">Proper names carry across languages; keep</w:t>
      </w:r>
      <w:r>
        <w:t xml:space="preserve"> </w:t>
      </w:r>
      <w:r>
        <w:rPr>
          <w:b/>
        </w:rPr>
        <w:t xml:space="preserve">Kim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Ellie</w:t>
      </w:r>
      <w:r>
        <w:t xml:space="preserve"> </w:t>
      </w:r>
      <w:r>
        <w:t xml:space="preserve">as-is (or apply standard transliteration for non-Latin scripts — e.g. キム／エリー in JA). The</w:t>
      </w:r>
      <w:r>
        <w:t xml:space="preserve"> </w:t>
      </w:r>
      <w:r>
        <w:rPr>
          <w:i/>
        </w:rPr>
        <w:t xml:space="preserve">beat</w:t>
      </w:r>
      <w:r>
        <w:t xml:space="preserve"> </w:t>
      </w:r>
      <w:r>
        <w:t xml:space="preserve">(the reader noticing the name change) works in any language — protect it by keeping the flip</w:t>
      </w:r>
      <w:r>
        <w:t xml:space="preserve"> </w:t>
      </w:r>
      <w:r>
        <w:t xml:space="preserve">visually obvious in every locale.</w:t>
      </w:r>
      <w:r>
        <w:t xml:space="preserve"> </w:t>
      </w:r>
      <w:r>
        <w:rPr>
          <w:b/>
        </w:rPr>
        <w:t xml:space="preserve">Expansion v2 note (build: PLANNED):</w:t>
      </w:r>
      <w:r>
        <w:t xml:space="preserve"> </w:t>
      </w:r>
      <w:r>
        <w:t xml:space="preserve">the flip’s meaning now</w:t>
      </w:r>
      <w:r>
        <w:t xml:space="preserve"> </w:t>
      </w:r>
      <w:r>
        <w:t xml:space="preserve">extends into Echo/roster content — Kim is deliberately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an Echo (the Signal Core</w:t>
      </w:r>
      <w:r>
        <w:t xml:space="preserve"> </w:t>
      </w:r>
      <w:r>
        <w:t xml:space="preserve">“</w:t>
      </w:r>
      <w:r>
        <w:t xml:space="preserve">absence</w:t>
      </w:r>
      <w:r>
        <w:t xml:space="preserve"> </w:t>
      </w:r>
      <w:r>
        <w:t xml:space="preserve">beat,</w:t>
      </w:r>
      <w:r>
        <w:t xml:space="preserve">”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§3), while Ellie is the connected voice; the contrast the flip sets up must stay</w:t>
      </w:r>
      <w:r>
        <w:t xml:space="preserve"> </w:t>
      </w:r>
      <w:r>
        <w:t xml:space="preserve">legible wherever both names appear across Phase 3.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Ellie’s lowercase, terse register — the hard one.</w:t>
      </w:r>
      <w:r>
        <w:t xml:space="preserve"> </w:t>
      </w:r>
      <w:r>
        <w:t xml:space="preserve">Ellie speaks in</w:t>
      </w:r>
      <w:r>
        <w:t xml:space="preserve"> </w:t>
      </w:r>
      <w:r>
        <w:rPr>
          <w:b/>
        </w:rPr>
        <w:t xml:space="preserve">all-lowercase</w:t>
      </w:r>
      <w:r>
        <w:t xml:space="preserve"> </w:t>
      </w:r>
      <w:r>
        <w:t xml:space="preserve">as a</w:t>
      </w:r>
      <w:r>
        <w:t xml:space="preserve"> </w:t>
      </w:r>
      <w:r>
        <w:t xml:space="preserve">characterization (diminished, tired, intimate).</w:t>
      </w:r>
      <w:r>
        <w:t xml:space="preserve"> </w:t>
      </w:r>
      <w:r>
        <w:rPr>
          <w:b/>
        </w:rPr>
        <w:t xml:space="preserve">Case is an English/Latin device</w:t>
      </w:r>
      <w:r>
        <w:t xml:space="preserve"> </w:t>
      </w:r>
      <w:r>
        <w:t xml:space="preserve">— CJK scripts</w:t>
      </w:r>
      <w:r>
        <w:t xml:space="preserve"> </w:t>
      </w:r>
      <w:r>
        <w:t xml:space="preserve">have no case, so</w:t>
      </w:r>
      <w:r>
        <w:t xml:space="preserve"> </w:t>
      </w:r>
      <w:r>
        <w:t xml:space="preserve">“</w:t>
      </w:r>
      <w:r>
        <w:t xml:space="preserve">lowercase</w:t>
      </w:r>
      <w:r>
        <w:t xml:space="preserve">”</w:t>
      </w:r>
      <w:r>
        <w:t xml:space="preserve"> </w:t>
      </w:r>
      <w:r>
        <w:t xml:space="preserve">conveys nothing there. Each such language needs an</w:t>
      </w:r>
      <w:r>
        <w:t xml:space="preserve"> </w:t>
      </w:r>
      <w:r>
        <w:rPr>
          <w:b/>
        </w:rPr>
        <w:t xml:space="preserve">equivalent</w:t>
      </w:r>
      <w:r>
        <w:rPr>
          <w:b/>
        </w:rPr>
        <w:t xml:space="preserve"> </w:t>
      </w:r>
      <w:r>
        <w:rPr>
          <w:b/>
        </w:rPr>
        <w:t xml:space="preserve">register</w:t>
      </w:r>
      <w:r>
        <w:t xml:space="preserve"> </w:t>
      </w:r>
      <w:r>
        <w:t xml:space="preserve">(e.g. in JA: plain/casual form, minimal particles, no honorifics; in general: clipped</w:t>
      </w:r>
      <w:r>
        <w:t xml:space="preserve"> </w:t>
      </w:r>
      <w:r>
        <w:t xml:space="preserve">sentences, lowercase where the script supports it, informal register). This is a</w:t>
      </w:r>
      <w:r>
        <w:t xml:space="preserve"> </w:t>
      </w:r>
      <w:r>
        <w:rPr>
          <w:b/>
        </w:rPr>
        <w:t xml:space="preserve">style-guide</w:t>
      </w:r>
      <w:r>
        <w:rPr>
          <w:b/>
        </w:rPr>
        <w:t xml:space="preserve"> </w:t>
      </w:r>
      <w:r>
        <w:rPr>
          <w:b/>
        </w:rPr>
        <w:t xml:space="preserve">deliverable per language</w:t>
      </w:r>
      <w:r>
        <w:t xml:space="preserve">, agreed with the translator, not a mechanical rule.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narrator’s centered italic, sparse voice.</w:t>
      </w:r>
      <w:r>
        <w:t xml:space="preserve"> </w:t>
      </w:r>
      <w:r>
        <w:t xml:space="preserve">Keep the terseness and present-tense immediacy;</w:t>
      </w:r>
      <w:r>
        <w:t xml:space="preserve"> </w:t>
      </w:r>
      <w:r>
        <w:t xml:space="preserve">italics render fine cross-script but carry less weight in CJK — pair with the existing centering.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Spoiler discipline is a translation constraint.</w:t>
      </w:r>
      <w:r>
        <w:t xml:space="preserve"> </w:t>
      </w:r>
      <w:r>
        <w:t xml:space="preserve">Translators must preserve the</w:t>
      </w:r>
      <w:r>
        <w:t xml:space="preserve"> </w:t>
      </w:r>
      <w:r>
        <w:rPr>
          <w:i/>
        </w:rPr>
        <w:t xml:space="preserve">cracks-not-</w:t>
      </w:r>
      <w:r>
        <w:rPr>
          <w:i/>
        </w:rPr>
        <w:t xml:space="preserve"> </w:t>
      </w:r>
      <w:r>
        <w:rPr>
          <w:i/>
        </w:rPr>
        <w:t xml:space="preserve">answers</w:t>
      </w:r>
      <w:r>
        <w:t xml:space="preserve"> </w:t>
      </w:r>
      <w:r>
        <w:t xml:space="preserve">rule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§4): a line that merely implies must not become a line that states. Ship</w:t>
      </w:r>
      <w:r>
        <w:t xml:space="preserve"> </w:t>
      </w:r>
      <w:r>
        <w:t xml:space="preserve">translators the relevant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context under NDA so they translate the subtext correctly.</w:t>
      </w:r>
    </w:p>
    <w:p>
      <w:pPr>
        <w:pStyle w:val="Heading3"/>
      </w:pPr>
      <w:bookmarkStart w:id="31" w:name="X9dbc7be8c5067158461b529a9c74a5eb7d93d55"/>
      <w:r>
        <w:t xml:space="preserve">5.1 Expansion v2 culturalization watch-items — build: PLANNED</w:t>
      </w:r>
      <w:bookmarkEnd w:id="31"/>
    </w:p>
    <w:p>
      <w:pPr>
        <w:pStyle w:val="FirstParagraph"/>
      </w:pPr>
      <w:r>
        <w:t xml:space="preserve">New traps introduced by the Expansion v2 narrative pass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§3/§5/§8). Design-only; no code</w:t>
      </w:r>
      <w:r>
        <w:t xml:space="preserve"> </w:t>
      </w:r>
      <w:r>
        <w:t xml:space="preserve">exists yet. Fold these into the per-language style guide alongside the items above.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child Echo (Theo) — register + content-rating sensitivity.</w:t>
      </w:r>
      <w:r>
        <w:t xml:space="preserve"> </w:t>
      </w:r>
      <w:r>
        <w:t xml:space="preserve">Theo is a child (~8); his Echo</w:t>
      </w:r>
      <w:r>
        <w:t xml:space="preserve"> </w:t>
      </w:r>
      <w:r>
        <w:t xml:space="preserve">is a child processing upload as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 nap on the bus</w:t>
      </w:r>
      <w:r>
        <w:rPr>
          <w:i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§3). Two demands per locale: (1) an</w:t>
      </w:r>
      <w:r>
        <w:t xml:space="preserve"> </w:t>
      </w:r>
      <w:r>
        <w:rPr>
          <w:b/>
        </w:rPr>
        <w:t xml:space="preserve">age-appropriate child register</w:t>
      </w:r>
      <w:r>
        <w:t xml:space="preserve"> </w:t>
      </w:r>
      <w:r>
        <w:t xml:space="preserve">— the diction of an ~8-year-old in that language, which is not a</w:t>
      </w:r>
      <w:r>
        <w:t xml:space="preserve"> </w:t>
      </w:r>
      <w:r>
        <w:t xml:space="preserve">mechanical translation of the English; and (2)</w:t>
      </w:r>
      <w:r>
        <w:t xml:space="preserve"> </w:t>
      </w:r>
      <w:r>
        <w:rPr>
          <w:b/>
        </w:rPr>
        <w:t xml:space="preserve">content-rating sensitivity</w:t>
      </w:r>
      <w:r>
        <w:t xml:space="preserve"> </w:t>
      </w:r>
      <w:r>
        <w:t xml:space="preserve">— a child facing death</w:t>
      </w:r>
      <w:r>
        <w:t xml:space="preserve"> </w:t>
      </w:r>
      <w:r>
        <w:t xml:space="preserve">is handled differently across ratings boards/markets (some locales are stricter about implied harm</w:t>
      </w:r>
      <w:r>
        <w:t xml:space="preserve"> </w:t>
      </w:r>
      <w:r>
        <w:t xml:space="preserve">to minors). Flag Theo’s fragments for</w:t>
      </w:r>
      <w:r>
        <w:t xml:space="preserve"> </w:t>
      </w:r>
      <w:r>
        <w:rPr>
          <w:b/>
        </w:rPr>
        <w:t xml:space="preserve">per-market classification review</w:t>
      </w:r>
      <w:r>
        <w:t xml:space="preserve"> </w:t>
      </w:r>
      <w:r>
        <w:t xml:space="preserve">before ship; the source</w:t>
      </w:r>
      <w:r>
        <w:t xml:space="preserve"> </w:t>
      </w:r>
      <w:r>
        <w:t xml:space="preserve">restraint (short, oblique, never staged for shock — §4) is what keeps it shippable, and translation</w:t>
      </w:r>
      <w:r>
        <w:t xml:space="preserve"> </w:t>
      </w:r>
      <w:r>
        <w:t xml:space="preserve">must</w:t>
      </w:r>
      <w:r>
        <w:t xml:space="preserve"> </w:t>
      </w:r>
      <w:r>
        <w:rPr>
          <w:i/>
        </w:rPr>
        <w:t xml:space="preserve">preserve</w:t>
      </w:r>
      <w:r>
        <w:t xml:space="preserve"> </w:t>
      </w:r>
      <w:r>
        <w:t xml:space="preserve">that restraint rather than sharpen it.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terse Echo register — restraint must survive translation.</w:t>
      </w:r>
      <w:r>
        <w:t xml:space="preserve"> </w:t>
      </w:r>
      <w:r>
        <w:t xml:space="preserve">Echoes are</w:t>
      </w:r>
      <w:r>
        <w:t xml:space="preserve"> </w:t>
      </w:r>
      <w:r>
        <w:rPr>
          <w:b/>
        </w:rPr>
        <w:t xml:space="preserve">2–4 lines, found,</w:t>
      </w:r>
      <w:r>
        <w:rPr>
          <w:b/>
        </w:rPr>
        <w:t xml:space="preserve"> </w:t>
      </w:r>
      <w:r>
        <w:rPr>
          <w:b/>
        </w:rPr>
        <w:t xml:space="preserve">mid-thought — never a scene, never a confession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§4:</w:t>
      </w:r>
      <w:r>
        <w:t xml:space="preserve"> </w:t>
      </w:r>
      <w:r>
        <w:t xml:space="preserve">“</w:t>
      </w:r>
      <w:r>
        <w:t xml:space="preserve">Echoes crack, they don’t</w:t>
      </w:r>
      <w:r>
        <w:t xml:space="preserve"> </w:t>
      </w:r>
      <w:r>
        <w:t xml:space="preserve">confess</w:t>
      </w:r>
      <w:r>
        <w:t xml:space="preserve">”</w:t>
      </w:r>
      <w:r>
        <w:t xml:space="preserve">). The failure mode in translation is</w:t>
      </w:r>
      <w:r>
        <w:t xml:space="preserve"> </w:t>
      </w:r>
      <w:r>
        <w:rPr>
          <w:b/>
        </w:rPr>
        <w:t xml:space="preserve">melodrama</w:t>
      </w:r>
      <w:r>
        <w:t xml:space="preserve">: a language’s natural instinct to soften,</w:t>
      </w:r>
      <w:r>
        <w:t xml:space="preserve"> </w:t>
      </w:r>
      <w:r>
        <w:t xml:space="preserve">explain, or emotionally underline will turn a fragment into a speech.</w:t>
      </w:r>
      <w:r>
        <w:t xml:space="preserve"> </w:t>
      </w:r>
      <w:r>
        <w:rPr>
          <w:b/>
        </w:rPr>
        <w:t xml:space="preserve">Restraint is canon</w:t>
      </w:r>
      <w:r>
        <w:t xml:space="preserve"> </w:t>
      </w:r>
      <w:r>
        <w:t xml:space="preserve">— the</w:t>
      </w:r>
      <w:r>
        <w:t xml:space="preserve"> </w:t>
      </w:r>
      <w:r>
        <w:t xml:space="preserve">child (Theo) and the regretter (Priya) are the hardest lines in the game</w:t>
      </w:r>
      <w:r>
        <w:t xml:space="preserve"> </w:t>
      </w:r>
      <w:r>
        <w:rPr>
          <w:i/>
        </w:rPr>
        <w:t xml:space="preserve">because they are the</w:t>
      </w:r>
      <w:r>
        <w:rPr>
          <w:i/>
        </w:rPr>
        <w:t xml:space="preserve"> </w:t>
      </w:r>
      <w:r>
        <w:rPr>
          <w:i/>
        </w:rPr>
        <w:t xml:space="preserve">shortest</w:t>
      </w:r>
      <w:r>
        <w:t xml:space="preserve">. Give translators an explicit brief: match the clipped length, keep the ambiguity, do not</w:t>
      </w:r>
      <w:r>
        <w:t xml:space="preserve"> </w:t>
      </w:r>
      <w:r>
        <w:t xml:space="preserve">add connective/emotional scaffolding. Treat this as a</w:t>
      </w:r>
      <w:r>
        <w:t xml:space="preserve"> </w:t>
      </w:r>
      <w:r>
        <w:rPr>
          <w:b/>
        </w:rPr>
        <w:t xml:space="preserve">new voice tag</w:t>
      </w:r>
      <w:r>
        <w:t xml:space="preserve"> </w:t>
      </w:r>
      <w:r>
        <w:t xml:space="preserve">(</w:t>
      </w:r>
      <w:r>
        <w:rPr>
          <w:rStyle w:val="VerbatimChar"/>
        </w:rPr>
        <w:t xml:space="preserve">echo</w:t>
      </w:r>
      <w:r>
        <w:t xml:space="preserve">, §3) with its own</w:t>
      </w:r>
      <w:r>
        <w:t xml:space="preserve"> </w:t>
      </w:r>
      <w:r>
        <w:t xml:space="preserve">style-guide entry, distinct from</w:t>
      </w:r>
      <w:r>
        <w:t xml:space="preserve"> </w:t>
      </w:r>
      <w:r>
        <w:rPr>
          <w:rStyle w:val="VerbatimChar"/>
        </w:rPr>
        <w:t xml:space="preserve">narrator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unchosen / who did you leave out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moral framing.</w:t>
      </w:r>
      <w:r>
        <w:t xml:space="preserve"> </w:t>
      </w:r>
      <w:r>
        <w:t xml:space="preserve">The Expansion v2 spine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§2, the</w:t>
      </w:r>
      <w:r>
        <w:t xml:space="preserve"> </w:t>
      </w:r>
      <w:r>
        <w:t xml:space="preserve">unchosen) turns on a moral accusation —</w:t>
      </w:r>
      <w:r>
        <w:t xml:space="preserve"> </w:t>
      </w:r>
      <w:r>
        <w:rPr>
          <w:i/>
        </w:rPr>
        <w:t xml:space="preserve">you signed who wasn’t saved</w:t>
      </w:r>
      <w:r>
        <w:t xml:space="preserve"> </w:t>
      </w:r>
      <w:r>
        <w:t xml:space="preserve">— carried by City Hall’s</w:t>
      </w:r>
      <w:r>
        <w:t xml:space="preserve"> </w:t>
      </w:r>
      <w:r>
        <w:t xml:space="preserve">selection/petitions/dissent, Marcus’s Echo, and the evolving question</w:t>
      </w:r>
      <w:r>
        <w:t xml:space="preserve"> </w:t>
      </w:r>
      <w:r>
        <w:rPr>
          <w:rStyle w:val="VerbatimChar"/>
        </w:rPr>
        <w:t xml:space="preserve">why only 143?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who did you leave out — and why?</w:t>
      </w:r>
      <w:r>
        <w:t xml:space="preserve">. The framing is</w:t>
      </w:r>
      <w:r>
        <w:t xml:space="preserve"> </w:t>
      </w:r>
      <w:r>
        <w:rPr>
          <w:b/>
        </w:rPr>
        <w:t xml:space="preserve">accusatory-but-restrained</w:t>
      </w:r>
      <w:r>
        <w:t xml:space="preserve">, second-person, and</w:t>
      </w:r>
      <w:r>
        <w:t xml:space="preserve"> </w:t>
      </w:r>
      <w:r>
        <w:t xml:space="preserve">must not tip into either sermon or melodrama in any locale. The pivot from</w:t>
      </w:r>
      <w:r>
        <w:t xml:space="preserve"> </w:t>
      </w:r>
      <w:r>
        <w:rPr>
          <w:b/>
        </w:rPr>
        <w:t xml:space="preserve">quantity</w:t>
      </w:r>
      <w:r>
        <w:t xml:space="preserve"> </w:t>
      </w:r>
      <w:r>
        <w:t xml:space="preserve">(</w:t>
      </w:r>
      <w:r>
        <w:t xml:space="preserve">“</w:t>
      </w:r>
      <w:r>
        <w:t xml:space="preserve">only 143</w:t>
      </w:r>
      <w:r>
        <w:t xml:space="preserve">”</w:t>
      </w:r>
      <w:r>
        <w:t xml:space="preserve">)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culpability</w:t>
      </w:r>
      <w:r>
        <w:t xml:space="preserve"> </w:t>
      </w:r>
      <w:r>
        <w:t xml:space="preserve">(</w:t>
      </w:r>
      <w:r>
        <w:t xml:space="preserve">“</w:t>
      </w:r>
      <w:r>
        <w:t xml:space="preserve">who did</w:t>
      </w:r>
      <w:r>
        <w:t xml:space="preserve"> </w:t>
      </w:r>
      <w:r>
        <w:rPr>
          <w:i/>
        </w:rPr>
        <w:t xml:space="preserve">you</w:t>
      </w:r>
      <w:r>
        <w:t xml:space="preserve"> </w:t>
      </w:r>
      <w:r>
        <w:t xml:space="preserve">leave out</w:t>
      </w:r>
      <w:r>
        <w:t xml:space="preserve">”</w:t>
      </w:r>
      <w:r>
        <w:t xml:space="preserve">) is the load-bearing shift — protect the second-person</w:t>
      </w:r>
      <w:r>
        <w:t xml:space="preserve"> </w:t>
      </w:r>
      <w:r>
        <w:t xml:space="preserve">“</w:t>
      </w:r>
      <w:r>
        <w:t xml:space="preserve">you</w:t>
      </w:r>
      <w:r>
        <w:t xml:space="preserve">”</w:t>
      </w:r>
      <w:r>
        <w:t xml:space="preserve"> </w:t>
      </w:r>
      <w:r>
        <w:t xml:space="preserve">and the shift itself; some languages will need a deliberate choice of address/formality to keep</w:t>
      </w:r>
      <w:r>
        <w:t xml:space="preserve"> </w:t>
      </w:r>
      <w:r>
        <w:t xml:space="preserve">the accusation personal (see the Ellie register note on informality above).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Character names — consistency across locales (build: PLANNED).</w:t>
      </w:r>
      <w:r>
        <w:t xml:space="preserve"> </w:t>
      </w:r>
      <w:r>
        <w:t xml:space="preserve">Expansion v2 adds a named cast</w:t>
      </w:r>
      <w:r>
        <w:t xml:space="preserve"> </w:t>
      </w:r>
      <w:r>
        <w:t xml:space="preserve">that recurs across many strings (Echoes, roster, City Hall, Case File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).</w:t>
      </w:r>
      <w:r>
        <w:t xml:space="preserve"> </w:t>
      </w:r>
      <w:r>
        <w:rPr>
          <w:b/>
        </w:rPr>
        <w:t xml:space="preserve">Lock a single</w:t>
      </w:r>
      <w:r>
        <w:rPr>
          <w:b/>
        </w:rPr>
        <w:t xml:space="preserve"> </w:t>
      </w:r>
      <w:r>
        <w:rPr>
          <w:b/>
        </w:rPr>
        <w:t xml:space="preserve">rendering per name per locale</w:t>
      </w:r>
      <w:r>
        <w:t xml:space="preserve"> </w:t>
      </w:r>
      <w:r>
        <w:t xml:space="preserve">to avoid drift:</w:t>
      </w:r>
      <w:r>
        <w:t xml:space="preserve"> </w:t>
      </w:r>
      <w:r>
        <w:rPr>
          <w:b/>
        </w:rPr>
        <w:t xml:space="preserve">Theo · Rosa · Walt · Priya · Marcus · Dr. Lena</w:t>
      </w:r>
      <w:r>
        <w:rPr>
          <w:b/>
        </w:rPr>
        <w:t xml:space="preserve"> </w:t>
      </w:r>
      <w:r>
        <w:rPr>
          <w:b/>
        </w:rPr>
        <w:t xml:space="preserve">Sorkin · June · Kim · Ellie</w:t>
      </w:r>
      <w:r>
        <w:t xml:space="preserve">. Latin-script locales keep them as-is; non-Latin scripts apply a</w:t>
      </w:r>
      <w:r>
        <w:t xml:space="preserve"> </w:t>
      </w:r>
      <w:r>
        <w:rPr>
          <w:b/>
        </w:rPr>
        <w:t xml:space="preserve">fixed, agreed transliteration</w:t>
      </w:r>
      <w:r>
        <w:t xml:space="preserve"> </w:t>
      </w:r>
      <w:r>
        <w:t xml:space="preserve">(as with キム／エリー for Kim/Ellie) recorded in a per-locale name</w:t>
      </w:r>
      <w:r>
        <w:t xml:space="preserve"> </w:t>
      </w:r>
      <w:r>
        <w:t xml:space="preserve">glossary so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character reads identically everywhere. Watch</w:t>
      </w:r>
      <w:r>
        <w:t xml:space="preserve"> </w:t>
      </w:r>
      <w:r>
        <w:rPr>
          <w:b/>
        </w:rPr>
        <w:t xml:space="preserve">Dr. Lena Sorkin</w:t>
      </w:r>
      <w:r>
        <w:t xml:space="preserve"> </w:t>
      </w:r>
      <w:r>
        <w:t xml:space="preserve">specifically:</w:t>
      </w:r>
      <w:r>
        <w:t xml:space="preserve"> </w:t>
      </w:r>
      <w:r>
        <w:t xml:space="preserve">keep the honorific/title handling consistent (title order and abbreviation of</w:t>
      </w:r>
      <w:r>
        <w:t xml:space="preserve"> </w:t>
      </w:r>
      <w:r>
        <w:t xml:space="preserve">“</w:t>
      </w:r>
      <w:r>
        <w:t xml:space="preserve">Dr.</w:t>
      </w:r>
      <w:r>
        <w:t xml:space="preserve">”</w:t>
      </w:r>
      <w:r>
        <w:t xml:space="preserve"> </w:t>
      </w:r>
      <w:r>
        <w:t xml:space="preserve">differ per</w:t>
      </w:r>
      <w:r>
        <w:t xml:space="preserve"> </w:t>
      </w:r>
      <w:r>
        <w:t xml:space="preserve">language), and keep first/last-name usage matching how the source deploys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typography-script-coverage"/>
      <w:r>
        <w:t xml:space="preserve">6. Typography &amp; script coverage</w:t>
      </w:r>
      <w:bookmarkEnd w:id="3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Current font:</w:t>
      </w:r>
      <w:r>
        <w:rPr>
          <w:b/>
        </w:rPr>
        <w:t xml:space="preserve"> </w:t>
      </w:r>
      <w:r>
        <w:rPr>
          <w:rStyle w:val="VerbatimChar"/>
          <w:b/>
        </w:rPr>
        <w:t xml:space="preserve">IBM Plex Mono</w:t>
      </w:r>
      <w:r>
        <w:t xml:space="preserve"> </w:t>
      </w:r>
      <w:r>
        <w:t xml:space="preserve">(Google Fonts, weights 300/400), fallback</w:t>
      </w:r>
      <w:r>
        <w:t xml:space="preserve"> </w:t>
      </w:r>
      <w:r>
        <w:rPr>
          <w:rStyle w:val="VerbatimChar"/>
        </w:rPr>
        <w:t xml:space="preserve">'Courier New',   monospace</w:t>
      </w:r>
      <w:r>
        <w:t xml:space="preserve">. IBM Plex Mono covers</w:t>
      </w:r>
      <w:r>
        <w:t xml:space="preserve"> </w:t>
      </w:r>
      <w:r>
        <w:rPr>
          <w:b/>
        </w:rPr>
        <w:t xml:space="preserve">Latin, Greek, and Cyrillic</w:t>
      </w:r>
      <w:r>
        <w:t xml:space="preserve"> </w:t>
      </w:r>
      <w:r>
        <w:t xml:space="preserve">— so</w:t>
      </w:r>
      <w:r>
        <w:t xml:space="preserve"> </w:t>
      </w:r>
      <w:r>
        <w:rPr>
          <w:b/>
        </w:rPr>
        <w:t xml:space="preserve">Tier 1 + Russian</w:t>
      </w:r>
      <w:r>
        <w:t xml:space="preserve"> </w:t>
      </w:r>
      <w:r>
        <w:t xml:space="preserve">are</w:t>
      </w:r>
      <w:r>
        <w:t xml:space="preserve"> </w:t>
      </w:r>
      <w:r>
        <w:t xml:space="preserve">typographically ready.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CJK is the gap.</w:t>
      </w:r>
      <w:r>
        <w:t xml:space="preserve"> </w:t>
      </w:r>
      <w:r>
        <w:t xml:space="preserve">IBM Plex Mono has</w:t>
      </w:r>
      <w:r>
        <w:t xml:space="preserve"> </w:t>
      </w:r>
      <w:r>
        <w:rPr>
          <w:b/>
        </w:rPr>
        <w:t xml:space="preserve">no CJK glyphs</w:t>
      </w:r>
      <w:r>
        <w:t xml:space="preserve">. Japanese/Chinese/Korean need a different</w:t>
      </w:r>
      <w:r>
        <w:t xml:space="preserve"> </w:t>
      </w:r>
      <w:r>
        <w:t xml:space="preserve">face — IBM ships</w:t>
      </w:r>
      <w:r>
        <w:t xml:space="preserve"> </w:t>
      </w:r>
      <w:r>
        <w:rPr>
          <w:b/>
        </w:rPr>
        <w:t xml:space="preserve">IBM Plex Sans JP/KR/TC/SC</w:t>
      </w:r>
      <w:r>
        <w:t xml:space="preserve"> </w:t>
      </w:r>
      <w:r>
        <w:t xml:space="preserve">(keeps the brand family) or fall back to</w:t>
      </w:r>
      <w:r>
        <w:t xml:space="preserve"> </w:t>
      </w:r>
      <w:r>
        <w:rPr>
          <w:b/>
        </w:rPr>
        <w:t xml:space="preserve">Noto Sans</w:t>
      </w:r>
      <w:r>
        <w:rPr>
          <w:b/>
        </w:rPr>
        <w:t xml:space="preserve"> </w:t>
      </w:r>
      <w:r>
        <w:rPr>
          <w:b/>
        </w:rPr>
        <w:t xml:space="preserve">Mono CJK</w:t>
      </w:r>
      <w:r>
        <w:t xml:space="preserve">. Note CJK</w:t>
      </w:r>
      <w:r>
        <w:t xml:space="preserve"> </w:t>
      </w:r>
      <w:r>
        <w:t xml:space="preserve">“</w:t>
      </w:r>
      <w:r>
        <w:t xml:space="preserve">monospace</w:t>
      </w:r>
      <w:r>
        <w:t xml:space="preserve">”</w:t>
      </w:r>
      <w:r>
        <w:t xml:space="preserve"> </w:t>
      </w:r>
      <w:r>
        <w:t xml:space="preserve">is really</w:t>
      </w:r>
      <w:r>
        <w:t xml:space="preserve"> </w:t>
      </w:r>
      <w:r>
        <w:rPr>
          <w:i/>
        </w:rPr>
        <w:t xml:space="preserve">duospace</w:t>
      </w:r>
      <w:r>
        <w:t xml:space="preserve"> </w:t>
      </w:r>
      <w:r>
        <w:t xml:space="preserve">(full-width glyphs) — the terminal grid look</w:t>
      </w:r>
      <w:r>
        <w:t xml:space="preserve"> </w:t>
      </w:r>
      <w:r>
        <w:t xml:space="preserve">will shift; validate the aesthetic per script (Art Bible §4 is Latin-specific).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Font loading &amp; offline.</w:t>
      </w:r>
      <w:r>
        <w:t xml:space="preserve"> </w:t>
      </w:r>
      <w:r>
        <w:t xml:space="preserve">The current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pulls the font from Google Fonts at runtime. For</w:t>
      </w:r>
      <w:r>
        <w:t xml:space="preserve"> </w:t>
      </w:r>
      <w:r>
        <w:t xml:space="preserve">determinism/offline (PRD NFR-1) and for large CJK faces,</w:t>
      </w:r>
      <w:r>
        <w:t xml:space="preserve"> </w:t>
      </w:r>
      <w:r>
        <w:rPr>
          <w:b/>
        </w:rPr>
        <w:t xml:space="preserve">self-host and subset</w:t>
      </w:r>
      <w:r>
        <w:t xml:space="preserve"> </w:t>
      </w:r>
      <w:r>
        <w:t xml:space="preserve">the fonts and</w:t>
      </w:r>
      <w:r>
        <w:t xml:space="preserve"> </w:t>
      </w:r>
      <w:r>
        <w:t xml:space="preserve">bundle them; lazy-load the CJK face only for CJK locales to ke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./art/ART.md" TargetMode="External" /><Relationship Type="http://schemas.openxmlformats.org/officeDocument/2006/relationships/hyperlink" Id="rId20" Target="../narrative/STORY.md" TargetMode="External" /><Relationship Type="http://schemas.openxmlformats.org/officeDocument/2006/relationships/hyperlink" Id="rId21" Target="../product/PRD.md" TargetMode="External" /><Relationship Type="http://schemas.openxmlformats.org/officeDocument/2006/relationships/hyperlink" Id="rId27" Target="../production/PLAN.md" TargetMode="External" /><Relationship Type="http://schemas.openxmlformats.org/officeDocument/2006/relationships/hyperlink" Id="rId22" Target="../technical/DESIGN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../art/ART.md" TargetMode="External" /><Relationship Type="http://schemas.openxmlformats.org/officeDocument/2006/relationships/hyperlink" Id="rId20" Target="../narrative/STORY.md" TargetMode="External" /><Relationship Type="http://schemas.openxmlformats.org/officeDocument/2006/relationships/hyperlink" Id="rId21" Target="../product/PRD.md" TargetMode="External" /><Relationship Type="http://schemas.openxmlformats.org/officeDocument/2006/relationships/hyperlink" Id="rId27" Target="../production/PLAN.md" TargetMode="External" /><Relationship Type="http://schemas.openxmlformats.org/officeDocument/2006/relationships/hyperlink" Id="rId22" Target="../technical/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Dead Signal</dc:title>
  <dc:creator>Jharek</dc:creator>
  <cp:keywords/>
  <dcterms:created xsi:type="dcterms:W3CDTF">2026-07-07T00:34:34Z</dcterms:created>
  <dcterms:modified xsi:type="dcterms:W3CDTF">2026-07-07T00:34:34Z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· 2026-07-06</vt:lpwstr>
  </property>
  <property fmtid="{D5CDD505-2E9C-101B-9397-08002B2CF9AE}" pid="3" name="subtitle">
    <vt:lpwstr>Localization Plan</vt:lpwstr>
  </property>
</Properties>
</file>