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0BF4" w14:textId="77777777" w:rsidR="00F11336" w:rsidRDefault="00000000">
      <w:pPr>
        <w:spacing w:after="40"/>
      </w:pPr>
      <w:r>
        <w:rPr>
          <w:b/>
          <w:bCs/>
          <w:color w:val="000000"/>
          <w:sz w:val="18"/>
          <w:szCs w:val="18"/>
        </w:rPr>
        <w:t>UNI · FIIS</w:t>
      </w:r>
    </w:p>
    <w:p w14:paraId="6884753E" w14:textId="77777777" w:rsidR="00F11336" w:rsidRDefault="00000000">
      <w:pPr>
        <w:pStyle w:val="Ttulo"/>
        <w:spacing w:after="35"/>
      </w:pPr>
      <w:r>
        <w:rPr>
          <w:b/>
          <w:bCs/>
          <w:color w:val="000000"/>
          <w:sz w:val="32"/>
          <w:szCs w:val="32"/>
        </w:rPr>
        <w:t>Plantilla de entrega · PC2 · G7</w:t>
      </w:r>
    </w:p>
    <w:p w14:paraId="3C92B10D" w14:textId="77777777" w:rsidR="00F11336" w:rsidRDefault="00000000">
      <w:pPr>
        <w:spacing w:after="180"/>
      </w:pPr>
      <w:r>
        <w:rPr>
          <w:i/>
          <w:iCs/>
          <w:color w:val="000000"/>
          <w:sz w:val="18"/>
          <w:szCs w:val="18"/>
        </w:rPr>
        <w:t>IMPORTACIONES MYS HERMANOS S.A.C. · GE703 · Sistemas Integrados Empresariales · 2026-2</w:t>
      </w:r>
    </w:p>
    <w:p w14:paraId="629F1E48" w14:textId="77777777" w:rsidR="00F11336" w:rsidRDefault="00000000">
      <w:pPr>
        <w:pStyle w:val="Ttulo1"/>
        <w:spacing w:before="200" w:after="100"/>
      </w:pPr>
      <w:r>
        <w:rPr>
          <w:b/>
          <w:bCs/>
          <w:color w:val="000000"/>
          <w:sz w:val="26"/>
          <w:szCs w:val="26"/>
        </w:rPr>
        <w:t>Identificación del incremento</w:t>
      </w:r>
    </w:p>
    <w:tbl>
      <w:tblPr>
        <w:tblW w:w="5000" w:type="pct"/>
        <w:tblBorders>
          <w:top w:val="single" w:sz="0" w:space="0" w:color="D9D9D9"/>
          <w:left w:val="single" w:sz="0" w:space="0" w:color="D9D9D9"/>
          <w:bottom w:val="single" w:sz="0" w:space="0" w:color="D9D9D9"/>
          <w:right w:val="single" w:sz="0" w:space="0" w:color="D9D9D9"/>
          <w:insideH w:val="single" w:sz="0" w:space="0" w:color="D9D9D9"/>
          <w:insideV w:val="single" w:sz="0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8"/>
        <w:gridCol w:w="6768"/>
      </w:tblGrid>
      <w:tr w:rsidR="00F11336" w14:paraId="30B8F8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F2F2F2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5992D7" w14:textId="77777777" w:rsidR="00F11336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900" w:type="dxa"/>
            <w:shd w:val="clear" w:color="F2F2F2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62FE0C" w14:textId="77777777" w:rsidR="00F11336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Registro</w:t>
            </w:r>
          </w:p>
        </w:tc>
      </w:tr>
      <w:tr w:rsidR="00F11336" w14:paraId="640CD1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161D82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Grupo</w:t>
            </w:r>
          </w:p>
        </w:tc>
        <w:tc>
          <w:tcPr>
            <w:tcW w:w="69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6D66C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G7</w:t>
            </w:r>
          </w:p>
        </w:tc>
      </w:tr>
      <w:tr w:rsidR="00F11336" w14:paraId="7542A1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BC445F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Empresa</w:t>
            </w:r>
          </w:p>
        </w:tc>
        <w:tc>
          <w:tcPr>
            <w:tcW w:w="69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97E541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IMPORTACIONES MYS HERMANOS S.A.C.</w:t>
            </w:r>
          </w:p>
        </w:tc>
      </w:tr>
      <w:tr w:rsidR="00F11336" w14:paraId="5578BD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B5E4A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Fecha de exposición</w:t>
            </w:r>
          </w:p>
        </w:tc>
        <w:tc>
          <w:tcPr>
            <w:tcW w:w="69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6CF827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17/10/2026 · desde 09:30</w:t>
            </w:r>
          </w:p>
        </w:tc>
      </w:tr>
      <w:tr w:rsidR="00F11336" w14:paraId="56D10C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1035BD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Entrega máxima</w:t>
            </w:r>
          </w:p>
        </w:tc>
        <w:tc>
          <w:tcPr>
            <w:tcW w:w="69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EA627C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Viernes 16/10/2026, 17:00</w:t>
            </w:r>
          </w:p>
        </w:tc>
      </w:tr>
      <w:tr w:rsidR="00F11336" w14:paraId="5F6A88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CD3873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Versión</w:t>
            </w:r>
          </w:p>
        </w:tc>
        <w:tc>
          <w:tcPr>
            <w:tcW w:w="69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FB514B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v2.1</w:t>
            </w:r>
          </w:p>
        </w:tc>
      </w:tr>
      <w:tr w:rsidR="00F11336" w14:paraId="26F55D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14E943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Enlace al repositorio o paquete de evidencias</w:t>
            </w:r>
          </w:p>
        </w:tc>
        <w:tc>
          <w:tcPr>
            <w:tcW w:w="69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45630A" w14:textId="77777777" w:rsidR="00F11336" w:rsidRDefault="00F11336">
            <w:pPr>
              <w:spacing w:after="0"/>
            </w:pPr>
          </w:p>
        </w:tc>
      </w:tr>
      <w:tr w:rsidR="00F11336" w14:paraId="703E98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05ADA5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Expositor/a asignado/a</w:t>
            </w:r>
          </w:p>
        </w:tc>
        <w:tc>
          <w:tcPr>
            <w:tcW w:w="69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3624B" w14:textId="77777777" w:rsidR="00F11336" w:rsidRDefault="00F11336">
            <w:pPr>
              <w:spacing w:after="0"/>
            </w:pPr>
          </w:p>
        </w:tc>
      </w:tr>
    </w:tbl>
    <w:p w14:paraId="2C6AB537" w14:textId="77777777" w:rsidR="00F11336" w:rsidRDefault="00000000">
      <w:pPr>
        <w:pStyle w:val="Ttulo1"/>
        <w:spacing w:before="200" w:after="100"/>
      </w:pPr>
      <w:r>
        <w:rPr>
          <w:b/>
          <w:bCs/>
          <w:color w:val="000000"/>
          <w:sz w:val="26"/>
          <w:szCs w:val="26"/>
        </w:rPr>
        <w:t>Integrantes y contribuciones</w:t>
      </w:r>
    </w:p>
    <w:p w14:paraId="14B6BF32" w14:textId="77777777" w:rsidR="00F11336" w:rsidRDefault="00000000">
      <w:r>
        <w:t>Registrar una contribución verificable por integrante: modelo, fuente, prueba, configuración, revisión o validación.</w:t>
      </w:r>
    </w:p>
    <w:tbl>
      <w:tblPr>
        <w:tblW w:w="5000" w:type="pct"/>
        <w:tblBorders>
          <w:top w:val="single" w:sz="0" w:space="0" w:color="D9D9D9"/>
          <w:left w:val="single" w:sz="0" w:space="0" w:color="D9D9D9"/>
          <w:bottom w:val="single" w:sz="0" w:space="0" w:color="D9D9D9"/>
          <w:right w:val="single" w:sz="0" w:space="0" w:color="D9D9D9"/>
          <w:insideH w:val="single" w:sz="0" w:space="0" w:color="D9D9D9"/>
          <w:insideV w:val="single" w:sz="0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"/>
        <w:gridCol w:w="3247"/>
        <w:gridCol w:w="6463"/>
      </w:tblGrid>
      <w:tr w:rsidR="00F11336" w14:paraId="733817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F2F2F2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1AE31" w14:textId="77777777" w:rsidR="00F11336" w:rsidRDefault="00000000">
            <w:pPr>
              <w:spacing w:after="0"/>
            </w:pPr>
            <w:proofErr w:type="spellStart"/>
            <w:r>
              <w:rPr>
                <w:b/>
                <w:bCs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3300" w:type="dxa"/>
            <w:shd w:val="clear" w:color="F2F2F2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145D27" w14:textId="77777777" w:rsidR="00F11336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Integrante</w:t>
            </w:r>
          </w:p>
        </w:tc>
        <w:tc>
          <w:tcPr>
            <w:tcW w:w="6600" w:type="dxa"/>
            <w:shd w:val="clear" w:color="F2F2F2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6625B" w14:textId="77777777" w:rsidR="00F11336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Contribución verificable</w:t>
            </w:r>
          </w:p>
        </w:tc>
      </w:tr>
      <w:tr w:rsidR="00F11336" w14:paraId="7EE151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B856A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3A1FEE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Arancibia </w:t>
            </w:r>
            <w:proofErr w:type="spellStart"/>
            <w:r>
              <w:rPr>
                <w:sz w:val="16"/>
                <w:szCs w:val="16"/>
              </w:rPr>
              <w:t>Ynga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Benjamin</w:t>
            </w:r>
            <w:proofErr w:type="spellEnd"/>
            <w:r>
              <w:rPr>
                <w:sz w:val="16"/>
                <w:szCs w:val="16"/>
              </w:rPr>
              <w:t xml:space="preserve"> Francis</w:t>
            </w:r>
          </w:p>
        </w:tc>
        <w:tc>
          <w:tcPr>
            <w:tcW w:w="6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E7C0EE" w14:textId="77777777" w:rsidR="00F11336" w:rsidRDefault="00F11336">
            <w:pPr>
              <w:spacing w:after="0"/>
            </w:pPr>
          </w:p>
        </w:tc>
      </w:tr>
      <w:tr w:rsidR="00F11336" w14:paraId="5CADCC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05B8A0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8A6DE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Carrión Oré, Shirley</w:t>
            </w:r>
          </w:p>
        </w:tc>
        <w:tc>
          <w:tcPr>
            <w:tcW w:w="6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767D33" w14:textId="77777777" w:rsidR="00F11336" w:rsidRDefault="00F11336">
            <w:pPr>
              <w:spacing w:after="0"/>
            </w:pPr>
          </w:p>
        </w:tc>
      </w:tr>
      <w:tr w:rsidR="00F11336" w14:paraId="35C9C2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8141A4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BFEABA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Chavez Mendoza, Gabriel Omar</w:t>
            </w:r>
          </w:p>
        </w:tc>
        <w:tc>
          <w:tcPr>
            <w:tcW w:w="6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9C933F" w14:textId="1F7FAF2E" w:rsidR="00F11336" w:rsidRDefault="009A4BD7">
            <w:pPr>
              <w:spacing w:after="0"/>
            </w:pPr>
            <w:r>
              <w:rPr>
                <w:sz w:val="16"/>
                <w:szCs w:val="16"/>
              </w:rPr>
              <w:t>D</w:t>
            </w:r>
            <w:r w:rsidRPr="009A4BD7">
              <w:rPr>
                <w:sz w:val="16"/>
                <w:szCs w:val="16"/>
              </w:rPr>
              <w:t>ecisiones sobre descuento excepcional, disponibilidad y condición de facturación, con responsables y evidencias; distinción conceptual entre CRM y ERP.</w:t>
            </w:r>
          </w:p>
        </w:tc>
      </w:tr>
      <w:tr w:rsidR="00F11336" w14:paraId="66F11B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98213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FBFB7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Mansilla Soto, </w:t>
            </w:r>
            <w:proofErr w:type="spellStart"/>
            <w:r>
              <w:rPr>
                <w:sz w:val="16"/>
                <w:szCs w:val="16"/>
              </w:rPr>
              <w:t>Adrian</w:t>
            </w:r>
            <w:proofErr w:type="spellEnd"/>
          </w:p>
        </w:tc>
        <w:tc>
          <w:tcPr>
            <w:tcW w:w="6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A746B" w14:textId="77777777" w:rsidR="00F11336" w:rsidRDefault="00F11336">
            <w:pPr>
              <w:spacing w:after="0"/>
            </w:pPr>
          </w:p>
        </w:tc>
      </w:tr>
      <w:tr w:rsidR="00F11336" w14:paraId="2D1A69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C30173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1B6B0D" w14:textId="77777777" w:rsidR="00F11336" w:rsidRDefault="00000000">
            <w:pPr>
              <w:spacing w:after="0"/>
            </w:pPr>
            <w:proofErr w:type="spellStart"/>
            <w:r>
              <w:rPr>
                <w:sz w:val="16"/>
                <w:szCs w:val="16"/>
              </w:rPr>
              <w:t>Paucarcaja</w:t>
            </w:r>
            <w:proofErr w:type="spellEnd"/>
            <w:r>
              <w:rPr>
                <w:sz w:val="16"/>
                <w:szCs w:val="16"/>
              </w:rPr>
              <w:t xml:space="preserve"> Ramos, </w:t>
            </w:r>
            <w:proofErr w:type="spellStart"/>
            <w:r>
              <w:rPr>
                <w:sz w:val="16"/>
                <w:szCs w:val="16"/>
              </w:rPr>
              <w:t>Jharolym</w:t>
            </w:r>
            <w:proofErr w:type="spellEnd"/>
          </w:p>
        </w:tc>
        <w:tc>
          <w:tcPr>
            <w:tcW w:w="6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69622" w14:textId="77777777" w:rsidR="00F11336" w:rsidRDefault="00F11336">
            <w:pPr>
              <w:spacing w:after="0"/>
            </w:pPr>
          </w:p>
        </w:tc>
      </w:tr>
      <w:tr w:rsidR="00F11336" w14:paraId="2687CA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604434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57B6C" w14:textId="77777777" w:rsidR="00F11336" w:rsidRDefault="00000000">
            <w:pPr>
              <w:spacing w:after="0"/>
            </w:pPr>
            <w:proofErr w:type="spellStart"/>
            <w:r>
              <w:rPr>
                <w:sz w:val="16"/>
                <w:szCs w:val="16"/>
              </w:rPr>
              <w:t>Quintainlla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Huamanraime</w:t>
            </w:r>
            <w:proofErr w:type="spellEnd"/>
            <w:r>
              <w:rPr>
                <w:sz w:val="16"/>
                <w:szCs w:val="16"/>
              </w:rPr>
              <w:t>, Ballack Zidane</w:t>
            </w:r>
          </w:p>
        </w:tc>
        <w:tc>
          <w:tcPr>
            <w:tcW w:w="6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CB3BB" w14:textId="77777777" w:rsidR="00F11336" w:rsidRDefault="00F11336">
            <w:pPr>
              <w:spacing w:after="0"/>
            </w:pPr>
          </w:p>
        </w:tc>
      </w:tr>
    </w:tbl>
    <w:p w14:paraId="42601D22" w14:textId="77777777" w:rsidR="00F11336" w:rsidRDefault="00000000">
      <w:pPr>
        <w:pStyle w:val="Ttulo1"/>
        <w:spacing w:before="200" w:after="100"/>
      </w:pPr>
      <w:r>
        <w:rPr>
          <w:b/>
          <w:bCs/>
          <w:color w:val="000000"/>
          <w:sz w:val="26"/>
          <w:szCs w:val="26"/>
        </w:rPr>
        <w:t>Guion de la entrega y exposición</w:t>
      </w:r>
    </w:p>
    <w:p w14:paraId="7C4A8035" w14:textId="77777777" w:rsidR="00F11336" w:rsidRDefault="00000000">
      <w:pPr>
        <w:pStyle w:val="Ttulo2"/>
        <w:spacing w:before="200" w:after="100"/>
      </w:pPr>
      <w:r>
        <w:rPr>
          <w:b/>
          <w:bCs/>
          <w:color w:val="000000"/>
          <w:sz w:val="22"/>
          <w:szCs w:val="22"/>
        </w:rPr>
        <w:t>1. Incremento desde PC1</w:t>
      </w:r>
    </w:p>
    <w:p w14:paraId="51256FCF" w14:textId="77777777" w:rsidR="00F11336" w:rsidRDefault="00000000">
      <w:r>
        <w:rPr>
          <w:i/>
          <w:iCs/>
        </w:rPr>
        <w:t>Indiquen qué decisiones de PC1 se mantienen, cuáles se ajustan para el escenario CRM y por qué.</w:t>
      </w:r>
    </w:p>
    <w:p w14:paraId="243F2A19" w14:textId="77777777" w:rsidR="00F11336" w:rsidRDefault="00000000">
      <w:r>
        <w:t>Completar aquí: ______________________________________________________________________________________________</w:t>
      </w:r>
    </w:p>
    <w:p w14:paraId="263EC904" w14:textId="77777777" w:rsidR="00F11336" w:rsidRDefault="00000000">
      <w:pPr>
        <w:pStyle w:val="Ttulo2"/>
        <w:spacing w:before="200" w:after="100"/>
      </w:pPr>
      <w:r>
        <w:rPr>
          <w:b/>
          <w:bCs/>
          <w:color w:val="000000"/>
          <w:sz w:val="22"/>
          <w:szCs w:val="22"/>
        </w:rPr>
        <w:t>2. Escenario CRM previo al pedido</w:t>
      </w:r>
    </w:p>
    <w:p w14:paraId="51B26050" w14:textId="77777777" w:rsidR="00F11336" w:rsidRDefault="00000000">
      <w:r>
        <w:rPr>
          <w:i/>
          <w:iCs/>
        </w:rPr>
        <w:t>Describan cuenta, contacto, canal, campaña o fuente, interacción, lead, oportunidad y cotización. Precisen la necesidad, probabilidad, competidores, versión, precio, descuento y vigencia que sean relevantes para su empresa.</w:t>
      </w:r>
    </w:p>
    <w:p w14:paraId="4325D04D" w14:textId="77777777" w:rsidR="00F11336" w:rsidRDefault="00000000">
      <w:r>
        <w:t>Completar aquí: ______________________________________________________________________________________________</w:t>
      </w:r>
    </w:p>
    <w:p w14:paraId="1CB501C0" w14:textId="77777777" w:rsidR="00F11336" w:rsidRDefault="00000000">
      <w:pPr>
        <w:keepNext/>
        <w:spacing w:before="160" w:after="100" w:line="259" w:lineRule="auto"/>
      </w:pPr>
      <w:r>
        <w:rPr>
          <w:rFonts w:ascii="Calibri" w:hAnsi="Calibri"/>
          <w:b/>
          <w:color w:val="0E355D"/>
          <w:sz w:val="26"/>
        </w:rPr>
        <w:t>3. Decisiones y frontera conceptual CRM–ERP</w:t>
      </w:r>
    </w:p>
    <w:p w14:paraId="6710EC2D" w14:textId="77777777" w:rsidR="00F11336" w:rsidRDefault="00000000">
      <w:pPr>
        <w:spacing w:after="100" w:line="259" w:lineRule="auto"/>
      </w:pPr>
      <w:r>
        <w:rPr>
          <w:rFonts w:ascii="Calibri" w:hAnsi="Calibri"/>
          <w:color w:val="000000"/>
        </w:rPr>
        <w:t>En la atención presencial, el vendedor transforma la consulta del cliente en una cotización con condiciones claras. Antes de presentarlas como definitivas, verifica cuáles puede ofrecer y cuáles requieren la decisión del dueño o encargado autorizado. Esta sección desarrolla el descuento excepcional, la disponibilidad o promesa y la condición de facturación, y distingue el contexto comercial del compromiso operativo posterior.</w:t>
      </w:r>
    </w:p>
    <w:p w14:paraId="0F417ADA" w14:textId="77777777" w:rsidR="00F11336" w:rsidRDefault="00000000">
      <w:pPr>
        <w:spacing w:after="100" w:line="259" w:lineRule="auto"/>
      </w:pPr>
      <w:r>
        <w:rPr>
          <w:rFonts w:ascii="Calibri" w:hAnsi="Calibri"/>
          <w:b/>
          <w:color w:val="000000"/>
        </w:rPr>
        <w:t>Base del caso.</w:t>
      </w:r>
      <w:r>
        <w:rPr>
          <w:rFonts w:ascii="Calibri" w:hAnsi="Calibri"/>
          <w:color w:val="000000"/>
        </w:rPr>
        <w:t xml:space="preserve"> Cliente nuevo del público general que visita el local y solicita cinco </w:t>
      </w:r>
      <w:proofErr w:type="spellStart"/>
      <w:r>
        <w:rPr>
          <w:rFonts w:ascii="Calibri" w:hAnsi="Calibri"/>
          <w:color w:val="000000"/>
        </w:rPr>
        <w:t>autoradios</w:t>
      </w:r>
      <w:proofErr w:type="spellEnd"/>
      <w:r>
        <w:rPr>
          <w:rFonts w:ascii="Calibri" w:hAnsi="Calibri"/>
          <w:color w:val="000000"/>
        </w:rPr>
        <w:t xml:space="preserve"> a S/400 por unidad. El descuento del 5 %, su límite de autorización y los demás parámetros son supuestos académicos, no políticas verificadas de MYS. El análisis termina en cotización y seguimiento, sin pedido operativo.</w:t>
      </w:r>
    </w:p>
    <w:p w14:paraId="5E12C460" w14:textId="77777777" w:rsidR="00F11336" w:rsidRDefault="00000000">
      <w:pPr>
        <w:keepNext/>
        <w:spacing w:before="160" w:after="100" w:line="259" w:lineRule="auto"/>
      </w:pPr>
      <w:r>
        <w:rPr>
          <w:rFonts w:ascii="Calibri" w:hAnsi="Calibri"/>
          <w:b/>
          <w:color w:val="0E355D"/>
          <w:sz w:val="22"/>
        </w:rPr>
        <w:lastRenderedPageBreak/>
        <w:t>3.1. Descuento excepcional</w:t>
      </w:r>
    </w:p>
    <w:p w14:paraId="11048626" w14:textId="77777777" w:rsidR="00F11336" w:rsidRDefault="00000000">
      <w:pPr>
        <w:spacing w:after="100" w:line="259" w:lineRule="auto"/>
      </w:pPr>
      <w:r>
        <w:rPr>
          <w:rFonts w:ascii="Calibri" w:hAnsi="Calibri"/>
          <w:color w:val="000000"/>
        </w:rPr>
        <w:t>El importe base es S/2.000. Para el ejercicio se supone que el vendedor puede aplicar hasta un 5 % de descuento: S/100, con un total de S/1.900. Debe conservar la cotización identificada, su versión, vigencia y las condiciones comunicadas.</w:t>
      </w:r>
    </w:p>
    <w:p w14:paraId="759B092A" w14:textId="77777777" w:rsidR="00F11336" w:rsidRDefault="00000000">
      <w:pPr>
        <w:spacing w:after="100" w:line="259" w:lineRule="auto"/>
      </w:pPr>
      <w:r>
        <w:rPr>
          <w:rFonts w:ascii="Calibri" w:hAnsi="Calibri"/>
          <w:color w:val="000000"/>
        </w:rPr>
        <w:t>La excepción surge cuando el cliente solicita un 10 %, con total de S/1.800. Esa condición supera la facultad didáctica del vendedor y requiere decisión del dueño. El vendedor registra el motivo, la versión de la oferta y el importe para evaluación; la aceptación del cliente no reemplaza la autorización empresarial.</w:t>
      </w:r>
    </w:p>
    <w:p w14:paraId="57BB7449" w14:textId="77777777" w:rsidR="00F11336" w:rsidRDefault="00000000">
      <w:pPr>
        <w:spacing w:after="100" w:line="259" w:lineRule="auto"/>
      </w:pPr>
      <w:r>
        <w:rPr>
          <w:rFonts w:ascii="Calibri" w:hAnsi="Calibri"/>
          <w:color w:val="000000"/>
        </w:rPr>
        <w:t>Mientras se resuelve, informa que el descuento adicional está en evaluación y registra el siguiente contacto con responsable y fecha. Si el dueño lo aprueba, actualiza la cotización y obtiene la aceptación de la versión revisada. Si lo rechaza, comunica las condiciones disponibles y consulta si el cliente desea continuar. Rechazar el descuento no significa perder automáticamente la oportunidad.</w:t>
      </w:r>
    </w:p>
    <w:p w14:paraId="4D69013D" w14:textId="77777777" w:rsidR="00F11336" w:rsidRDefault="00000000">
      <w:pPr>
        <w:keepNext/>
        <w:spacing w:before="160" w:after="100" w:line="259" w:lineRule="auto"/>
      </w:pPr>
      <w:r>
        <w:rPr>
          <w:rFonts w:ascii="Calibri" w:hAnsi="Calibri"/>
          <w:b/>
          <w:color w:val="0E355D"/>
          <w:sz w:val="22"/>
        </w:rPr>
        <w:t>3.2. Disponibilidad y promesa al cliente</w:t>
      </w:r>
    </w:p>
    <w:p w14:paraId="50617081" w14:textId="77777777" w:rsidR="00F11336" w:rsidRDefault="00000000">
      <w:pPr>
        <w:spacing w:after="100" w:line="259" w:lineRule="auto"/>
      </w:pPr>
      <w:r>
        <w:rPr>
          <w:rFonts w:ascii="Calibri" w:hAnsi="Calibri"/>
          <w:color w:val="000000"/>
        </w:rPr>
        <w:t>El vendedor consulta las existencias e identifica producto, cantidad disponible y momento de observación. Si encuentra diferencias o no dispone de información confiable, solicita verificación al dueño o encargado antes de comunicar un compromiso.</w:t>
      </w:r>
    </w:p>
    <w:p w14:paraId="4525DB8E" w14:textId="77777777" w:rsidR="00F11336" w:rsidRDefault="00000000">
      <w:pPr>
        <w:spacing w:after="100" w:line="259" w:lineRule="auto"/>
      </w:pPr>
      <w:r>
        <w:rPr>
          <w:rFonts w:ascii="Calibri" w:hAnsi="Calibri"/>
          <w:color w:val="000000"/>
        </w:rPr>
        <w:t>Si la información permite atender las cinco unidades, puede continuar la evaluación de la oferta. La consulta no aparta mercadería ni garantiza disponibilidad futura. Si la cantidad es insuficiente, explica la limitación y consulta si el cliente desea evaluar una cantidad menor, una alternativa compatible o atención posterior.</w:t>
      </w:r>
    </w:p>
    <w:p w14:paraId="5864B67E" w14:textId="20B06324" w:rsidR="00F11336" w:rsidRDefault="00000000">
      <w:pPr>
        <w:spacing w:after="100" w:line="259" w:lineRule="auto"/>
      </w:pPr>
      <w:r>
        <w:rPr>
          <w:rFonts w:ascii="Calibri" w:hAnsi="Calibri"/>
          <w:color w:val="000000"/>
        </w:rPr>
        <w:t xml:space="preserve">No fija fechas de reposición sin sustento. Un cambio de producto, cantidad, precio o condición de atención debe reflejarse en la cotización y ser aceptado por el cliente. Los compromisos excepcionales se remiten al dueño; la reserva y confirmación operativa quedan fuera de </w:t>
      </w:r>
      <w:r w:rsidR="009A4BD7">
        <w:rPr>
          <w:rFonts w:ascii="Calibri" w:hAnsi="Calibri"/>
          <w:color w:val="000000"/>
        </w:rPr>
        <w:t>este entregable</w:t>
      </w:r>
      <w:r>
        <w:rPr>
          <w:rFonts w:ascii="Calibri" w:hAnsi="Calibri"/>
          <w:color w:val="000000"/>
        </w:rPr>
        <w:t>.</w:t>
      </w:r>
    </w:p>
    <w:p w14:paraId="2AB9ECCC" w14:textId="77777777" w:rsidR="00F11336" w:rsidRDefault="00000000">
      <w:pPr>
        <w:keepNext/>
        <w:spacing w:before="160" w:after="100" w:line="259" w:lineRule="auto"/>
      </w:pPr>
      <w:r>
        <w:rPr>
          <w:rFonts w:ascii="Calibri" w:hAnsi="Calibri"/>
          <w:b/>
          <w:color w:val="0E355D"/>
          <w:sz w:val="22"/>
        </w:rPr>
        <w:t>3.3. Condición de facturación</w:t>
      </w:r>
    </w:p>
    <w:p w14:paraId="39BE0C9A" w14:textId="77777777" w:rsidR="00F11336" w:rsidRDefault="00000000">
      <w:pPr>
        <w:spacing w:after="100" w:line="259" w:lineRule="auto"/>
      </w:pPr>
      <w:r>
        <w:rPr>
          <w:rFonts w:ascii="Calibri" w:hAnsi="Calibri"/>
          <w:color w:val="000000"/>
        </w:rPr>
        <w:t>El vendedor recoge qué necesita el cliente respecto del comprobante y solicita al dueño o responsable administrativo validar la condición antes de cerrar la propuesta comercial. La condición de pago y la de facturación deben distinguirse: indicar pago al contado no resuelve por sí solo la necesidad documental.</w:t>
      </w:r>
    </w:p>
    <w:p w14:paraId="4AF63627" w14:textId="77777777" w:rsidR="00F11336" w:rsidRDefault="00000000">
      <w:pPr>
        <w:spacing w:after="100" w:line="259" w:lineRule="auto"/>
      </w:pPr>
      <w:r>
        <w:rPr>
          <w:rFonts w:ascii="Calibri" w:hAnsi="Calibri"/>
          <w:b/>
          <w:color w:val="000000"/>
        </w:rPr>
        <w:t>Supuesto propuesto para el caso.</w:t>
      </w:r>
      <w:r>
        <w:rPr>
          <w:rFonts w:ascii="Calibri" w:hAnsi="Calibri"/>
          <w:color w:val="000000"/>
        </w:rPr>
        <w:t xml:space="preserve"> El cliente solicita un único comprobante por las cinco unidades y prevé recogerlas juntas en tienda. Es una propuesta didáctica pendiente de acuerdo del equipo y validación empresarial; no se atribuye al cliente real ni a una política vigente.</w:t>
      </w:r>
    </w:p>
    <w:p w14:paraId="62885793" w14:textId="77777777" w:rsidR="00F11336" w:rsidRDefault="00000000">
      <w:pPr>
        <w:spacing w:after="100" w:line="259" w:lineRule="auto"/>
      </w:pPr>
      <w:r>
        <w:rPr>
          <w:rFonts w:ascii="Calibri" w:hAnsi="Calibri"/>
          <w:color w:val="000000"/>
        </w:rPr>
        <w:t>El dueño o responsable administrativo valida el tipo de documento requerido, los datos necesarios y las condiciones de emisión posterior conforme a las reglas aplicables. El vendedor registra y comunica la respuesta. Si se negocia una atención parcial o cambia la cantidad, se revisa esta condición y se consulta al cliente; no se presume su aceptación.</w:t>
      </w:r>
    </w:p>
    <w:p w14:paraId="23948157" w14:textId="7028FF43" w:rsidR="00F11336" w:rsidRDefault="00000000">
      <w:pPr>
        <w:spacing w:after="100" w:line="259" w:lineRule="auto"/>
      </w:pPr>
      <w:r>
        <w:rPr>
          <w:rFonts w:ascii="Calibri" w:hAnsi="Calibri"/>
          <w:color w:val="000000"/>
        </w:rPr>
        <w:t xml:space="preserve">La evidencia comprende la necesidad registrada, la cotización relacionada, la decisión del responsable y la respuesta comunicada. Mientras no se valide la condición, se mantiene como pendiente. </w:t>
      </w:r>
      <w:r w:rsidR="009A4BD7">
        <w:rPr>
          <w:rFonts w:ascii="Calibri" w:hAnsi="Calibri"/>
          <w:color w:val="000000"/>
        </w:rPr>
        <w:t xml:space="preserve">Para este entregable </w:t>
      </w:r>
      <w:r>
        <w:rPr>
          <w:rFonts w:ascii="Calibri" w:hAnsi="Calibri"/>
          <w:color w:val="000000"/>
        </w:rPr>
        <w:t>no</w:t>
      </w:r>
      <w:r w:rsidR="009A4BD7">
        <w:rPr>
          <w:rFonts w:ascii="Calibri" w:hAnsi="Calibri"/>
          <w:color w:val="000000"/>
        </w:rPr>
        <w:t xml:space="preserve"> se</w:t>
      </w:r>
      <w:r>
        <w:rPr>
          <w:rFonts w:ascii="Calibri" w:hAnsi="Calibri"/>
          <w:color w:val="000000"/>
        </w:rPr>
        <w:t xml:space="preserve"> emite comprobantes, no determina tratamiento tributario ni ejecuta la integración con UBLHUB.</w:t>
      </w:r>
    </w:p>
    <w:p w14:paraId="13329F67" w14:textId="77777777" w:rsidR="00F11336" w:rsidRDefault="00000000">
      <w:pPr>
        <w:keepNext/>
        <w:spacing w:before="160" w:after="100" w:line="259" w:lineRule="auto"/>
      </w:pPr>
      <w:r>
        <w:rPr>
          <w:rFonts w:ascii="Calibri" w:hAnsi="Calibri"/>
          <w:b/>
          <w:color w:val="0E355D"/>
          <w:sz w:val="22"/>
        </w:rPr>
        <w:t>3.4. Responsables y evidencia esperada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2324"/>
        <w:gridCol w:w="3061"/>
        <w:gridCol w:w="3345"/>
      </w:tblGrid>
      <w:tr w:rsidR="00F11336" w14:paraId="6FFE94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3F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1A001F" w14:textId="77777777" w:rsidR="00F11336" w:rsidRDefault="00000000">
            <w:pPr>
              <w:spacing w:before="40" w:after="40" w:line="245" w:lineRule="auto"/>
            </w:pPr>
            <w:r>
              <w:rPr>
                <w:rFonts w:ascii="Calibri" w:hAnsi="Calibri"/>
                <w:b/>
                <w:sz w:val="17"/>
              </w:rPr>
              <w:t>Decisión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3F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83669A" w14:textId="77777777" w:rsidR="00F11336" w:rsidRDefault="00000000">
            <w:pPr>
              <w:spacing w:before="40" w:after="40" w:line="245" w:lineRule="auto"/>
            </w:pPr>
            <w:r>
              <w:rPr>
                <w:rFonts w:ascii="Calibri" w:hAnsi="Calibri"/>
                <w:b/>
                <w:sz w:val="17"/>
              </w:rPr>
              <w:t>Responsable propuesto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3F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03E469" w14:textId="77777777" w:rsidR="00F11336" w:rsidRDefault="00000000">
            <w:pPr>
              <w:spacing w:before="40" w:after="40" w:line="245" w:lineRule="auto"/>
            </w:pPr>
            <w:r>
              <w:rPr>
                <w:rFonts w:ascii="Calibri" w:hAnsi="Calibri"/>
                <w:b/>
                <w:sz w:val="17"/>
              </w:rPr>
              <w:t>Evidencia esperada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3F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5E480B" w14:textId="77777777" w:rsidR="00F11336" w:rsidRDefault="00000000">
            <w:pPr>
              <w:spacing w:before="40" w:after="40" w:line="245" w:lineRule="auto"/>
            </w:pPr>
            <w:r>
              <w:rPr>
                <w:rFonts w:ascii="Calibri" w:hAnsi="Calibri"/>
                <w:b/>
                <w:sz w:val="17"/>
              </w:rPr>
              <w:t>Impacto para el cliente</w:t>
            </w:r>
          </w:p>
        </w:tc>
      </w:tr>
      <w:tr w:rsidR="00F11336" w14:paraId="235C1BE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9F6F44" w14:textId="77777777" w:rsidR="00F11336" w:rsidRDefault="00000000">
            <w:pPr>
              <w:spacing w:before="40" w:after="40" w:line="245" w:lineRule="auto"/>
            </w:pPr>
            <w:r>
              <w:rPr>
                <w:rFonts w:ascii="Calibri" w:hAnsi="Calibri"/>
                <w:sz w:val="17"/>
              </w:rPr>
              <w:t>Descuento dentro del 5 % supuesto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7C41AB" w14:textId="77777777" w:rsidR="00F11336" w:rsidRDefault="00000000">
            <w:pPr>
              <w:spacing w:before="40" w:after="40" w:line="245" w:lineRule="auto"/>
            </w:pPr>
            <w:r>
              <w:rPr>
                <w:rFonts w:ascii="Calibri" w:hAnsi="Calibri"/>
                <w:sz w:val="17"/>
              </w:rPr>
              <w:t>Vendedor, dentro de la facultad didáctica.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F01F48" w14:textId="77777777" w:rsidR="00F11336" w:rsidRDefault="00000000">
            <w:pPr>
              <w:spacing w:before="40" w:after="40" w:line="245" w:lineRule="auto"/>
            </w:pPr>
            <w:r>
              <w:rPr>
                <w:rFonts w:ascii="Calibri" w:hAnsi="Calibri"/>
                <w:sz w:val="17"/>
              </w:rPr>
              <w:t>Precio de referencia, descuento, total, versión y vigencia.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ECBEAF" w14:textId="77777777" w:rsidR="00F11336" w:rsidRDefault="00000000">
            <w:pPr>
              <w:spacing w:before="40" w:after="40" w:line="245" w:lineRule="auto"/>
            </w:pPr>
            <w:r>
              <w:rPr>
                <w:rFonts w:ascii="Calibri" w:hAnsi="Calibri"/>
                <w:sz w:val="17"/>
              </w:rPr>
              <w:t>Oferta clara y condiciones identificadas.</w:t>
            </w:r>
          </w:p>
        </w:tc>
      </w:tr>
      <w:tr w:rsidR="00F11336" w14:paraId="4183F40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A6A4EA" w14:textId="77777777" w:rsidR="00F11336" w:rsidRDefault="00000000">
            <w:pPr>
              <w:spacing w:before="40" w:after="40" w:line="245" w:lineRule="auto"/>
            </w:pPr>
            <w:r>
              <w:rPr>
                <w:rFonts w:ascii="Calibri" w:hAnsi="Calibri"/>
                <w:sz w:val="17"/>
              </w:rPr>
              <w:t>Descuento superior al umbral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11697E" w14:textId="77777777" w:rsidR="00F11336" w:rsidRDefault="00000000">
            <w:pPr>
              <w:spacing w:before="40" w:after="40" w:line="245" w:lineRule="auto"/>
            </w:pPr>
            <w:r>
              <w:rPr>
                <w:rFonts w:ascii="Calibri" w:hAnsi="Calibri"/>
                <w:sz w:val="17"/>
              </w:rPr>
              <w:t>Dueño decide; vendedor solicita y comunica.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08E15C" w14:textId="77777777" w:rsidR="00F11336" w:rsidRDefault="00000000">
            <w:pPr>
              <w:spacing w:before="40" w:after="40" w:line="245" w:lineRule="auto"/>
            </w:pPr>
            <w:r>
              <w:rPr>
                <w:rFonts w:ascii="Calibri" w:hAnsi="Calibri"/>
                <w:sz w:val="17"/>
              </w:rPr>
              <w:t>Motivo, cotización y autorización o rechazo de esa oferta.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BA776A" w14:textId="77777777" w:rsidR="00F11336" w:rsidRDefault="00000000">
            <w:pPr>
              <w:spacing w:before="40" w:after="40" w:line="245" w:lineRule="auto"/>
            </w:pPr>
            <w:r>
              <w:rPr>
                <w:rFonts w:ascii="Calibri" w:hAnsi="Calibri"/>
                <w:sz w:val="17"/>
              </w:rPr>
              <w:t>Conoce qué descuento está aprobado y cuál sigue pendiente.</w:t>
            </w:r>
          </w:p>
        </w:tc>
      </w:tr>
      <w:tr w:rsidR="00F11336" w14:paraId="225E386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3668B1" w14:textId="77777777" w:rsidR="00F11336" w:rsidRDefault="00000000">
            <w:pPr>
              <w:spacing w:before="40" w:after="40" w:line="245" w:lineRule="auto"/>
            </w:pPr>
            <w:r>
              <w:rPr>
                <w:rFonts w:ascii="Calibri" w:hAnsi="Calibri"/>
                <w:sz w:val="17"/>
              </w:rPr>
              <w:t>Disponibilidad o promesa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5B4391" w14:textId="77777777" w:rsidR="00F11336" w:rsidRDefault="00000000">
            <w:pPr>
              <w:spacing w:before="40" w:after="40" w:line="245" w:lineRule="auto"/>
            </w:pPr>
            <w:r>
              <w:rPr>
                <w:rFonts w:ascii="Calibri" w:hAnsi="Calibri"/>
                <w:sz w:val="17"/>
              </w:rPr>
              <w:t>Vendedor consulta; dueño o encargado verifica diferencias y excepciones.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3BCF7E" w14:textId="77777777" w:rsidR="00F11336" w:rsidRDefault="00000000">
            <w:pPr>
              <w:spacing w:before="40" w:after="40" w:line="245" w:lineRule="auto"/>
            </w:pPr>
            <w:r>
              <w:rPr>
                <w:rFonts w:ascii="Calibri" w:hAnsi="Calibri"/>
                <w:sz w:val="17"/>
              </w:rPr>
              <w:t>Producto, cantidad, fecha de consulta y condición comunicada.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93E8FF" w14:textId="77777777" w:rsidR="00F11336" w:rsidRDefault="00000000">
            <w:pPr>
              <w:spacing w:before="40" w:after="40" w:line="245" w:lineRule="auto"/>
            </w:pPr>
            <w:r>
              <w:rPr>
                <w:rFonts w:ascii="Calibri" w:hAnsi="Calibri"/>
                <w:sz w:val="17"/>
              </w:rPr>
              <w:t>Evalúa alternativas sin promesas de stock o fechas sin sustento.</w:t>
            </w:r>
          </w:p>
        </w:tc>
      </w:tr>
      <w:tr w:rsidR="00F11336" w14:paraId="43E3BC9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A6C959" w14:textId="77777777" w:rsidR="00F11336" w:rsidRDefault="00000000">
            <w:pPr>
              <w:spacing w:before="40" w:after="40" w:line="245" w:lineRule="auto"/>
            </w:pPr>
            <w:r>
              <w:rPr>
                <w:rFonts w:ascii="Calibri" w:hAnsi="Calibri"/>
                <w:sz w:val="17"/>
              </w:rPr>
              <w:t>Condición de facturación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8718F7" w14:textId="77777777" w:rsidR="00F11336" w:rsidRDefault="00000000">
            <w:pPr>
              <w:spacing w:before="40" w:after="40" w:line="245" w:lineRule="auto"/>
            </w:pPr>
            <w:r>
              <w:rPr>
                <w:rFonts w:ascii="Calibri" w:hAnsi="Calibri"/>
                <w:sz w:val="17"/>
              </w:rPr>
              <w:t>Dueño o responsable administrativo valida; vendedor recoge y comunica.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D56B59" w14:textId="77777777" w:rsidR="00F11336" w:rsidRDefault="00000000">
            <w:pPr>
              <w:spacing w:before="40" w:after="40" w:line="245" w:lineRule="auto"/>
            </w:pPr>
            <w:r>
              <w:rPr>
                <w:rFonts w:ascii="Calibri" w:hAnsi="Calibri"/>
                <w:sz w:val="17"/>
              </w:rPr>
              <w:t>Necesidad, condición revisada y respuesta vinculadas a la cotización.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840C96" w14:textId="77777777" w:rsidR="00F11336" w:rsidRDefault="00000000">
            <w:pPr>
              <w:spacing w:before="40" w:after="40" w:line="245" w:lineRule="auto"/>
            </w:pPr>
            <w:r>
              <w:rPr>
                <w:rFonts w:ascii="Calibri" w:hAnsi="Calibri"/>
                <w:sz w:val="17"/>
              </w:rPr>
              <w:t>Conoce si puede atenderse su necesidad documental.</w:t>
            </w:r>
          </w:p>
        </w:tc>
      </w:tr>
    </w:tbl>
    <w:p w14:paraId="12C7E96B" w14:textId="77777777" w:rsidR="00F11336" w:rsidRDefault="00000000">
      <w:pPr>
        <w:spacing w:after="100" w:line="259" w:lineRule="auto"/>
      </w:pPr>
      <w:r>
        <w:rPr>
          <w:rFonts w:ascii="Calibri" w:hAnsi="Calibri"/>
          <w:color w:val="000000"/>
        </w:rPr>
        <w:t>Los roles expresan funciones propuestas para el escenario; no presuponen departamentos separados ni validaciones empresariales ya realizadas.</w:t>
      </w:r>
    </w:p>
    <w:p w14:paraId="1A52768E" w14:textId="77777777" w:rsidR="00F11336" w:rsidRDefault="00000000">
      <w:pPr>
        <w:keepNext/>
        <w:spacing w:before="160" w:after="100" w:line="259" w:lineRule="auto"/>
      </w:pPr>
      <w:r>
        <w:rPr>
          <w:rFonts w:ascii="Calibri" w:hAnsi="Calibri"/>
          <w:b/>
          <w:color w:val="0E355D"/>
          <w:sz w:val="22"/>
        </w:rPr>
        <w:lastRenderedPageBreak/>
        <w:t>3.5. Frontera conceptual CRM–ERP</w:t>
      </w:r>
    </w:p>
    <w:p w14:paraId="689AE067" w14:textId="77777777" w:rsidR="00F11336" w:rsidRDefault="00000000">
      <w:pPr>
        <w:spacing w:after="100" w:line="259" w:lineRule="auto"/>
      </w:pPr>
      <w:r>
        <w:rPr>
          <w:rFonts w:ascii="Calibri" w:hAnsi="Calibri"/>
          <w:color w:val="000000"/>
        </w:rPr>
        <w:t>CRM y ERP cumplen responsabilidades diferentes dentro de la propuesta con Odoo. La comparación siguiente distingue el contexto comercial del compromiso y la ejecución operativa posterior.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6"/>
        <w:gridCol w:w="5216"/>
      </w:tblGrid>
      <w:tr w:rsidR="00F11336" w14:paraId="462EAC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FBFD0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b/>
                <w:sz w:val="18"/>
              </w:rPr>
              <w:t>CRM · contexto comercial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E53B9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b/>
                <w:sz w:val="18"/>
              </w:rPr>
              <w:t>ERP · compromiso y ejecución posterior</w:t>
            </w:r>
          </w:p>
        </w:tc>
      </w:tr>
      <w:tr w:rsidR="00F11336" w14:paraId="5690C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766ED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sz w:val="18"/>
              </w:rPr>
              <w:t>Cuenta, contacto, origen de la visita e interacciones.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445A6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sz w:val="18"/>
              </w:rPr>
              <w:t>Pedido confirmado y condiciones operativas aceptadas.</w:t>
            </w:r>
          </w:p>
        </w:tc>
      </w:tr>
      <w:tr w:rsidR="00F11336" w14:paraId="1C701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01E30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sz w:val="18"/>
              </w:rPr>
              <w:t>Necesidad, oportunidad, probabilidad y actividades de seguimiento.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2BFAD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sz w:val="18"/>
              </w:rPr>
              <w:t>Reserva, movimientos y control de inventario.</w:t>
            </w:r>
          </w:p>
        </w:tc>
      </w:tr>
      <w:tr w:rsidR="00F11336" w14:paraId="19F1E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89501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sz w:val="18"/>
              </w:rPr>
              <w:t>Oferta vinculada, respuesta del cliente y decisiones comerciales pendientes.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903C1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sz w:val="18"/>
              </w:rPr>
              <w:t>Entrega, facturación y registros financieros.</w:t>
            </w:r>
          </w:p>
        </w:tc>
      </w:tr>
    </w:tbl>
    <w:p w14:paraId="710673AB" w14:textId="77777777" w:rsidR="00F11336" w:rsidRDefault="00000000">
      <w:pPr>
        <w:spacing w:after="100" w:line="259" w:lineRule="auto"/>
      </w:pPr>
      <w:r>
        <w:rPr>
          <w:rFonts w:ascii="Calibri" w:hAnsi="Calibri"/>
          <w:color w:val="000000"/>
        </w:rPr>
        <w:t xml:space="preserve">La cotización se conserva en Ventas de </w:t>
      </w:r>
      <w:proofErr w:type="spellStart"/>
      <w:r>
        <w:rPr>
          <w:rFonts w:ascii="Calibri" w:hAnsi="Calibri"/>
          <w:color w:val="000000"/>
        </w:rPr>
        <w:t>Odoo</w:t>
      </w:r>
      <w:proofErr w:type="spellEnd"/>
      <w:r>
        <w:rPr>
          <w:rFonts w:ascii="Calibri" w:hAnsi="Calibri"/>
          <w:color w:val="000000"/>
        </w:rPr>
        <w:t xml:space="preserve"> y se vincula con la oportunidad. Su aceptación no confirma por sí sola un pedido. La consulta de existencias apoya la decisión comercial, pero no reserva unidades.</w:t>
      </w:r>
    </w:p>
    <w:p w14:paraId="1F9061EE" w14:textId="07F3ADF5" w:rsidR="00F11336" w:rsidRDefault="00000000">
      <w:pPr>
        <w:spacing w:after="100" w:line="259" w:lineRule="auto"/>
      </w:pPr>
      <w:r>
        <w:rPr>
          <w:rFonts w:ascii="Calibri" w:hAnsi="Calibri"/>
          <w:color w:val="000000"/>
        </w:rPr>
        <w:t>Se conservan la cotización, las decisiones y el seguimiento. Pedido operativo, reserva, entrega y emisión de comprobantes corresponden a incrementos posteriores.</w:t>
      </w:r>
    </w:p>
    <w:p w14:paraId="0109B637" w14:textId="77777777" w:rsidR="00F11336" w:rsidRDefault="00000000">
      <w:pPr>
        <w:keepNext/>
        <w:spacing w:before="160" w:after="100" w:line="259" w:lineRule="auto"/>
      </w:pPr>
      <w:r>
        <w:rPr>
          <w:rFonts w:ascii="Calibri" w:hAnsi="Calibri"/>
          <w:b/>
          <w:color w:val="0E355D"/>
          <w:sz w:val="22"/>
        </w:rPr>
        <w:t>Sustento y pendientes de validación</w:t>
      </w:r>
    </w:p>
    <w:p w14:paraId="6CA00BC8" w14:textId="77777777" w:rsidR="00F11336" w:rsidRDefault="00000000">
      <w:pPr>
        <w:spacing w:after="100" w:line="259" w:lineRule="auto"/>
      </w:pPr>
      <w:r>
        <w:rPr>
          <w:rFonts w:ascii="Calibri" w:hAnsi="Calibri"/>
          <w:color w:val="000000"/>
        </w:rPr>
        <w:t>Fuentes del aporte y antecedentes del equipo · 16/10/2026.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8"/>
        <w:gridCol w:w="6973"/>
      </w:tblGrid>
      <w:tr w:rsidR="00F11336" w14:paraId="1AF222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0F383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b/>
                <w:sz w:val="18"/>
              </w:rPr>
              <w:t>Fuente / fecha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AD7B6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b/>
                <w:sz w:val="18"/>
              </w:rPr>
              <w:t>Aplicación y límite</w:t>
            </w:r>
          </w:p>
        </w:tc>
      </w:tr>
      <w:tr w:rsidR="00F11336" w14:paraId="0DEF7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1E431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sz w:val="18"/>
              </w:rPr>
              <w:t>Rúbrica oficial PC2 v2.1 · 16/10/2026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BFCD6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sz w:val="18"/>
              </w:rPr>
              <w:t>Decisiones comerciales y frontera conceptual hasta la diapositiva 12 de S6; no exige contrato técnico ni ejecución del pedido.</w:t>
            </w:r>
          </w:p>
        </w:tc>
      </w:tr>
      <w:tr w:rsidR="00F11336" w14:paraId="5D70E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8048D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sz w:val="18"/>
              </w:rPr>
              <w:t>Plantilla PC2 G7 v2.1 · 16/10/2026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37309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sz w:val="18"/>
              </w:rPr>
              <w:t>Apartado 3: responsables y evidencia del descuento, disponibilidad o promesa y condición de facturación.</w:t>
            </w:r>
          </w:p>
        </w:tc>
      </w:tr>
      <w:tr w:rsidR="00F11336" w14:paraId="046E0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97CA4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sz w:val="18"/>
              </w:rPr>
              <w:t>GE703 S6 Presentación · 16/10/2026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F81AA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sz w:val="18"/>
              </w:rPr>
              <w:t>Distinción conceptual entre contexto CRM y compromiso ERP. Se respeta el corte evaluable hasta la diapositiva 12.</w:t>
            </w:r>
          </w:p>
        </w:tc>
      </w:tr>
      <w:tr w:rsidR="00F11336" w14:paraId="1B4D0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560DD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sz w:val="18"/>
              </w:rPr>
              <w:t>GE703 S7 Continuación S6–S7 · antecedente citado por el equipo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1A8FF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sz w:val="18"/>
              </w:rPr>
              <w:t>Referencia de continuidad consignada en el avance de Benjamín y Adrián. No se usa para ampliar el alcance de PC2; su original no se revisó para este aporte.</w:t>
            </w:r>
          </w:p>
        </w:tc>
      </w:tr>
      <w:tr w:rsidR="00F11336" w14:paraId="6D697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4B0C5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sz w:val="18"/>
              </w:rPr>
              <w:t>Repositorio ERP-SIE · revisión 16/10/2026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E64AF" w14:textId="77777777" w:rsidR="00F11336" w:rsidRDefault="00000000">
            <w:pPr>
              <w:spacing w:before="60" w:after="60" w:line="252" w:lineRule="auto"/>
            </w:pPr>
            <w:proofErr w:type="spellStart"/>
            <w:r>
              <w:rPr>
                <w:rFonts w:ascii="Calibri" w:hAnsi="Calibri"/>
                <w:sz w:val="18"/>
              </w:rPr>
              <w:t>Odoo</w:t>
            </w:r>
            <w:proofErr w:type="spellEnd"/>
            <w:r>
              <w:rPr>
                <w:rFonts w:ascii="Calibri" w:hAnsi="Calibri"/>
                <w:sz w:val="18"/>
              </w:rPr>
              <w:t>/UBLHUB y escenario anterior por WhatsApp como antecedentes. La simulación técnica no sustituye el análisis comercial presencial.</w:t>
            </w:r>
          </w:p>
        </w:tc>
      </w:tr>
      <w:tr w:rsidR="00F11336" w14:paraId="7FA6F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9065A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sz w:val="18"/>
              </w:rPr>
              <w:t>Decisiones del escenario del equipo · 16/10/2026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56C41" w14:textId="77777777" w:rsidR="00F11336" w:rsidRDefault="00000000">
            <w:pPr>
              <w:spacing w:before="60" w:after="60" w:line="252" w:lineRule="auto"/>
            </w:pPr>
            <w:r>
              <w:rPr>
                <w:rFonts w:ascii="Calibri" w:hAnsi="Calibri"/>
                <w:sz w:val="18"/>
              </w:rPr>
              <w:t>Cliente nuevo del público general y atención física. Descuento y demás condiciones son didácticos; validación empresarial pendiente.</w:t>
            </w:r>
          </w:p>
        </w:tc>
      </w:tr>
    </w:tbl>
    <w:p w14:paraId="436BD3F2" w14:textId="77777777" w:rsidR="00F11336" w:rsidRDefault="00000000">
      <w:pPr>
        <w:spacing w:after="100" w:line="259" w:lineRule="auto"/>
      </w:pPr>
      <w:r>
        <w:rPr>
          <w:rFonts w:ascii="Calibri" w:hAnsi="Calibri"/>
          <w:b/>
          <w:color w:val="000000"/>
        </w:rPr>
        <w:t>IA y ética.</w:t>
      </w:r>
      <w:r>
        <w:rPr>
          <w:rFonts w:ascii="Calibri" w:hAnsi="Calibri"/>
          <w:color w:val="000000"/>
        </w:rPr>
        <w:t xml:space="preserve"> Se utilizó Codex (</w:t>
      </w:r>
      <w:proofErr w:type="spellStart"/>
      <w:r>
        <w:rPr>
          <w:rFonts w:ascii="Calibri" w:hAnsi="Calibri"/>
          <w:color w:val="000000"/>
        </w:rPr>
        <w:t>OpenAI</w:t>
      </w:r>
      <w:proofErr w:type="spellEnd"/>
      <w:r>
        <w:rPr>
          <w:rFonts w:ascii="Calibri" w:hAnsi="Calibri"/>
          <w:color w:val="000000"/>
        </w:rPr>
        <w:t xml:space="preserve">) para apoyar la redacción y organización del apartado. No se declara implementación de </w:t>
      </w:r>
      <w:proofErr w:type="spellStart"/>
      <w:r>
        <w:rPr>
          <w:rFonts w:ascii="Calibri" w:hAnsi="Calibri"/>
          <w:color w:val="000000"/>
        </w:rPr>
        <w:t>Odoo</w:t>
      </w:r>
      <w:proofErr w:type="spellEnd"/>
      <w:r>
        <w:rPr>
          <w:rFonts w:ascii="Calibri" w:hAnsi="Calibri"/>
          <w:color w:val="000000"/>
        </w:rPr>
        <w:t>, validación de BPMN ni ejecución empresarial. La revisión humana debe comprobar responsables, condiciones y coherencia con el caso.</w:t>
      </w:r>
    </w:p>
    <w:p w14:paraId="1AAEB0D3" w14:textId="77777777" w:rsidR="00F11336" w:rsidRDefault="00000000">
      <w:pPr>
        <w:spacing w:after="100" w:line="259" w:lineRule="auto"/>
      </w:pPr>
      <w:r>
        <w:rPr>
          <w:rFonts w:ascii="Calibri" w:hAnsi="Calibri"/>
          <w:b/>
          <w:color w:val="000000"/>
        </w:rPr>
        <w:t>Privacidad.</w:t>
      </w:r>
      <w:r>
        <w:rPr>
          <w:rFonts w:ascii="Calibri" w:hAnsi="Calibri"/>
          <w:color w:val="000000"/>
        </w:rPr>
        <w:t xml:space="preserve"> Se utilizan ejemplos sintéticos. No se incluyen DNI, teléfonos, direcciones, correos, cuentas ni credenciales reales de MYS o de consumidores.</w:t>
      </w:r>
    </w:p>
    <w:p w14:paraId="3AC25430" w14:textId="77777777" w:rsidR="00F11336" w:rsidRDefault="00000000">
      <w:pPr>
        <w:spacing w:after="100" w:line="259" w:lineRule="auto"/>
      </w:pPr>
      <w:r>
        <w:rPr>
          <w:rFonts w:ascii="Calibri" w:hAnsi="Calibri"/>
          <w:b/>
          <w:color w:val="000000"/>
        </w:rPr>
        <w:t>Continuidad.</w:t>
      </w:r>
      <w:r>
        <w:rPr>
          <w:rFonts w:ascii="Calibri" w:hAnsi="Calibri"/>
          <w:color w:val="000000"/>
        </w:rPr>
        <w:t xml:space="preserve"> Contrato técnico CRM–ERP, pedido, stock comprometido, facturación, entrega y posventa quedan para incrementos posteriores y no se presentan como requisitos de esta PC2.</w:t>
      </w:r>
    </w:p>
    <w:p w14:paraId="4C247E7E" w14:textId="77777777" w:rsidR="00F11336" w:rsidRDefault="00000000">
      <w:pPr>
        <w:spacing w:after="100" w:line="259" w:lineRule="auto"/>
      </w:pPr>
      <w:r>
        <w:rPr>
          <w:rFonts w:ascii="Calibri" w:hAnsi="Calibri"/>
          <w:b/>
          <w:color w:val="000000"/>
        </w:rPr>
        <w:t>Pendientes de validación.</w:t>
      </w:r>
      <w:r>
        <w:rPr>
          <w:rFonts w:ascii="Calibri" w:hAnsi="Calibri"/>
          <w:color w:val="000000"/>
        </w:rPr>
        <w:t xml:space="preserve"> Acordar con el equipo el supuesto de comprobante único y mantenerlo consistente con los apartados 2 y 4 si se adopta. Confirmar con MYS las autorizaciones, las reglas comerciales y los responsables. Registrar la revisión personal antes de declarar el aporte aprobado.</w:t>
      </w:r>
    </w:p>
    <w:p w14:paraId="2F15856F" w14:textId="77777777" w:rsidR="00F11336" w:rsidRDefault="00000000">
      <w:pPr>
        <w:pStyle w:val="Ttulo2"/>
        <w:spacing w:before="200" w:after="100"/>
      </w:pPr>
      <w:r>
        <w:rPr>
          <w:b/>
          <w:bCs/>
          <w:color w:val="000000"/>
          <w:sz w:val="22"/>
          <w:szCs w:val="22"/>
        </w:rPr>
        <w:t>4. Caso de análisis</w:t>
      </w:r>
    </w:p>
    <w:p w14:paraId="67ACCF1C" w14:textId="77777777" w:rsidR="00F11336" w:rsidRDefault="00000000">
      <w:r>
        <w:rPr>
          <w:i/>
          <w:iCs/>
        </w:rPr>
        <w:t>Presenten un escenario normal y una excepción prioritaria. Para cada uno indiquen decisión, responsable principal, evidencia esperada, impacto para el cliente y respuesta propuesta.</w:t>
      </w:r>
    </w:p>
    <w:p w14:paraId="6B925291" w14:textId="77777777" w:rsidR="00F11336" w:rsidRDefault="00000000">
      <w:r>
        <w:lastRenderedPageBreak/>
        <w:t>Completar aquí: ______________________________________________________________________________________________</w:t>
      </w:r>
    </w:p>
    <w:p w14:paraId="67766601" w14:textId="77777777" w:rsidR="00F11336" w:rsidRDefault="00000000">
      <w:pPr>
        <w:pStyle w:val="Ttulo2"/>
        <w:spacing w:before="200" w:after="100"/>
      </w:pPr>
      <w:r>
        <w:rPr>
          <w:b/>
          <w:bCs/>
          <w:color w:val="000000"/>
          <w:sz w:val="22"/>
          <w:szCs w:val="22"/>
        </w:rPr>
        <w:t>5. Fuentes, límites y continuidad</w:t>
      </w:r>
    </w:p>
    <w:p w14:paraId="443432C4" w14:textId="77777777" w:rsidR="00F11336" w:rsidRDefault="00000000">
      <w:r>
        <w:rPr>
          <w:i/>
          <w:iCs/>
        </w:rPr>
        <w:t>Declaren fuentes, supuestos, vacíos, uso de IA si corresponde y límites. Indiquen qué queda pendiente para contrato técnico CRM–ERP, pedido, facturación, entrega y posventa. No se solicita un agente comercial.</w:t>
      </w:r>
    </w:p>
    <w:p w14:paraId="218C7374" w14:textId="77777777" w:rsidR="00F11336" w:rsidRDefault="00000000">
      <w:r>
        <w:t>Completar aquí: ______________________________________________________________________________________________</w:t>
      </w:r>
    </w:p>
    <w:p w14:paraId="2435F259" w14:textId="77777777" w:rsidR="00F11336" w:rsidRDefault="00000000">
      <w:pPr>
        <w:pStyle w:val="Ttulo1"/>
        <w:spacing w:before="200" w:after="100"/>
      </w:pPr>
      <w:r>
        <w:rPr>
          <w:b/>
          <w:bCs/>
          <w:color w:val="000000"/>
          <w:sz w:val="26"/>
          <w:szCs w:val="26"/>
        </w:rPr>
        <w:t>Fuentes, uso de IA y declaración de límites</w:t>
      </w:r>
    </w:p>
    <w:tbl>
      <w:tblPr>
        <w:tblW w:w="5000" w:type="pct"/>
        <w:tblBorders>
          <w:top w:val="single" w:sz="0" w:space="0" w:color="D9D9D9"/>
          <w:left w:val="single" w:sz="0" w:space="0" w:color="D9D9D9"/>
          <w:bottom w:val="single" w:sz="0" w:space="0" w:color="D9D9D9"/>
          <w:right w:val="single" w:sz="0" w:space="0" w:color="D9D9D9"/>
          <w:insideH w:val="single" w:sz="0" w:space="0" w:color="D9D9D9"/>
          <w:insideV w:val="single" w:sz="0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6"/>
        <w:gridCol w:w="6760"/>
      </w:tblGrid>
      <w:tr w:rsidR="00F11336" w14:paraId="1A42D5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F2F2F2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9F0591" w14:textId="77777777" w:rsidR="00F11336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Elemento</w:t>
            </w:r>
          </w:p>
        </w:tc>
        <w:tc>
          <w:tcPr>
            <w:tcW w:w="6900" w:type="dxa"/>
            <w:shd w:val="clear" w:color="F2F2F2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A55F39" w14:textId="77777777" w:rsidR="00F11336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Registro</w:t>
            </w:r>
          </w:p>
        </w:tc>
      </w:tr>
      <w:tr w:rsidR="00F11336" w14:paraId="6BEDA0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4F6B4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Fuentes y fecha de acceso</w:t>
            </w:r>
          </w:p>
        </w:tc>
        <w:tc>
          <w:tcPr>
            <w:tcW w:w="69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90626" w14:textId="77777777" w:rsidR="00F11336" w:rsidRDefault="00F11336">
            <w:pPr>
              <w:spacing w:after="0"/>
            </w:pPr>
          </w:p>
        </w:tc>
      </w:tr>
      <w:tr w:rsidR="00F11336" w14:paraId="15B63F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31EC12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Herramientas de IA usadas y propósito</w:t>
            </w:r>
          </w:p>
        </w:tc>
        <w:tc>
          <w:tcPr>
            <w:tcW w:w="69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A2551" w14:textId="77777777" w:rsidR="00F11336" w:rsidRDefault="00F11336">
            <w:pPr>
              <w:spacing w:after="0"/>
            </w:pPr>
          </w:p>
        </w:tc>
      </w:tr>
      <w:tr w:rsidR="00F11336" w14:paraId="4D9EB4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AC6935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Datos sensibles excluidos o anonimizados</w:t>
            </w:r>
          </w:p>
        </w:tc>
        <w:tc>
          <w:tcPr>
            <w:tcW w:w="69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4CCE99" w14:textId="77777777" w:rsidR="00F11336" w:rsidRDefault="00F11336">
            <w:pPr>
              <w:spacing w:after="0"/>
            </w:pPr>
          </w:p>
        </w:tc>
      </w:tr>
      <w:tr w:rsidR="00F11336" w14:paraId="6E2C56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73E2AA" w14:textId="77777777" w:rsidR="00F11336" w:rsidRDefault="00000000">
            <w:pPr>
              <w:spacing w:after="0"/>
            </w:pPr>
            <w:r>
              <w:rPr>
                <w:sz w:val="16"/>
                <w:szCs w:val="16"/>
              </w:rPr>
              <w:t>Límites, supuestos y pendientes</w:t>
            </w:r>
          </w:p>
        </w:tc>
        <w:tc>
          <w:tcPr>
            <w:tcW w:w="69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B814D" w14:textId="77777777" w:rsidR="00F11336" w:rsidRDefault="00F11336">
            <w:pPr>
              <w:spacing w:after="0"/>
            </w:pPr>
          </w:p>
        </w:tc>
      </w:tr>
    </w:tbl>
    <w:p w14:paraId="35F55840" w14:textId="77777777" w:rsidR="00F11336" w:rsidRDefault="00000000">
      <w:pPr>
        <w:pStyle w:val="Ttulo1"/>
        <w:spacing w:before="200" w:after="100"/>
      </w:pPr>
      <w:r>
        <w:rPr>
          <w:b/>
          <w:bCs/>
          <w:color w:val="000000"/>
          <w:sz w:val="26"/>
          <w:szCs w:val="26"/>
        </w:rPr>
        <w:t>Cierre</w:t>
      </w:r>
    </w:p>
    <w:p w14:paraId="20474CEB" w14:textId="77777777" w:rsidR="00F11336" w:rsidRDefault="00000000">
      <w:r>
        <w:t>Antes de entregar, verifiquen que el escenario sea coherente, que las decisiones tengan sustento y que el único expositor asignado domine las decisiones y los límites del alcance hasta la diapositiva 12 de la sesión 6.</w:t>
      </w:r>
    </w:p>
    <w:sectPr w:rsidR="00F11336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58D2"/>
    <w:multiLevelType w:val="hybridMultilevel"/>
    <w:tmpl w:val="FBE2BDF2"/>
    <w:lvl w:ilvl="0" w:tplc="7C2E4CC8">
      <w:start w:val="1"/>
      <w:numFmt w:val="bullet"/>
      <w:lvlText w:val="●"/>
      <w:lvlJc w:val="left"/>
      <w:pPr>
        <w:ind w:left="720" w:hanging="360"/>
      </w:pPr>
    </w:lvl>
    <w:lvl w:ilvl="1" w:tplc="EF204E20">
      <w:start w:val="1"/>
      <w:numFmt w:val="bullet"/>
      <w:lvlText w:val="○"/>
      <w:lvlJc w:val="left"/>
      <w:pPr>
        <w:ind w:left="1440" w:hanging="360"/>
      </w:pPr>
    </w:lvl>
    <w:lvl w:ilvl="2" w:tplc="87927BEC">
      <w:start w:val="1"/>
      <w:numFmt w:val="bullet"/>
      <w:lvlText w:val="■"/>
      <w:lvlJc w:val="left"/>
      <w:pPr>
        <w:ind w:left="2160" w:hanging="360"/>
      </w:pPr>
    </w:lvl>
    <w:lvl w:ilvl="3" w:tplc="70B2E4B2">
      <w:start w:val="1"/>
      <w:numFmt w:val="bullet"/>
      <w:lvlText w:val="●"/>
      <w:lvlJc w:val="left"/>
      <w:pPr>
        <w:ind w:left="2880" w:hanging="360"/>
      </w:pPr>
    </w:lvl>
    <w:lvl w:ilvl="4" w:tplc="FDE4D9C2">
      <w:start w:val="1"/>
      <w:numFmt w:val="bullet"/>
      <w:lvlText w:val="○"/>
      <w:lvlJc w:val="left"/>
      <w:pPr>
        <w:ind w:left="3600" w:hanging="360"/>
      </w:pPr>
    </w:lvl>
    <w:lvl w:ilvl="5" w:tplc="8A3A36D6">
      <w:start w:val="1"/>
      <w:numFmt w:val="bullet"/>
      <w:lvlText w:val="■"/>
      <w:lvlJc w:val="left"/>
      <w:pPr>
        <w:ind w:left="4320" w:hanging="360"/>
      </w:pPr>
    </w:lvl>
    <w:lvl w:ilvl="6" w:tplc="192AE446">
      <w:start w:val="1"/>
      <w:numFmt w:val="bullet"/>
      <w:lvlText w:val="●"/>
      <w:lvlJc w:val="left"/>
      <w:pPr>
        <w:ind w:left="5040" w:hanging="360"/>
      </w:pPr>
    </w:lvl>
    <w:lvl w:ilvl="7" w:tplc="F49A6590">
      <w:start w:val="1"/>
      <w:numFmt w:val="bullet"/>
      <w:lvlText w:val="●"/>
      <w:lvlJc w:val="left"/>
      <w:pPr>
        <w:ind w:left="5760" w:hanging="360"/>
      </w:pPr>
    </w:lvl>
    <w:lvl w:ilvl="8" w:tplc="AF78447C">
      <w:start w:val="1"/>
      <w:numFmt w:val="bullet"/>
      <w:lvlText w:val="●"/>
      <w:lvlJc w:val="left"/>
      <w:pPr>
        <w:ind w:left="6480" w:hanging="360"/>
      </w:pPr>
    </w:lvl>
  </w:abstractNum>
  <w:num w:numId="1" w16cid:durableId="716012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336"/>
    <w:rsid w:val="00170317"/>
    <w:rsid w:val="009A4BD7"/>
    <w:rsid w:val="00F1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A7C16A"/>
  <w15:docId w15:val="{ED6896B4-0D09-46B4-870A-653A2D9F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03030"/>
        <w:lang w:val="es-PE" w:eastAsia="es-PE" w:bidi="ar-SA"/>
      </w:rPr>
    </w:rPrDefault>
    <w:pPrDefault>
      <w:pPr>
        <w:spacing w:after="1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/>
    </w:p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/>
    </w:p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1658</Words>
  <Characters>9123</Characters>
  <Application>Microsoft Office Word</Application>
  <DocSecurity>0</DocSecurity>
  <Lines>76</Lines>
  <Paragraphs>21</Paragraphs>
  <ScaleCrop>false</ScaleCrop>
  <Company/>
  <LinksUpToDate>false</LinksUpToDate>
  <CharactersWithSpaces>10760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chavez</cp:lastModifiedBy>
  <cp:revision>2</cp:revision>
  <dcterms:created xsi:type="dcterms:W3CDTF">2026-09-18T04:05:00Z</dcterms:created>
  <dcterms:modified xsi:type="dcterms:W3CDTF">2026-10-16T17:31:00Z</dcterms:modified>
</cp:coreProperties>
</file>