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UNI · FIIS  /  GE703 · Sistemas Integrados Empresariales  /  PC2 2026-2</w:t>
      </w:r>
    </w:p>
    <w:p>
      <w:pPr>
        <w:pStyle w:val="Title"/>
        <w:jc w:val="center"/>
      </w:pPr>
      <w:r>
        <w:t>Escenario CRM previo al pedido</w:t>
        <w:br/>
        <w:t>Importaciones MYS Hermanos SAC</w:t>
      </w:r>
    </w:p>
    <w:p>
      <w:pPr>
        <w:jc w:val="center"/>
      </w:pPr>
      <w:r>
        <w:t>Aportes de Benjamín Francis Arancibia Ynga y Adrián Antony Mansilla Soto. Integramos la evolución de PC1 a PC2, el escenario CRM, las decisiones comerciales y los BPMN que explican el proceso antes del pedido.</w:t>
      </w:r>
    </w:p>
    <w:p>
      <w:r>
        <w:t>GE703 PC2 v2.1 · Grupo 7 · 16/10/2026. Presentamos un caso académico normal y una excepción prioritaria de descuento. La oferta se valida comercialmente; su aceptación no crea un pedido ni compromete inventario.</w:t>
      </w:r>
    </w:p>
    <w:p>
      <w:pPr>
        <w:pStyle w:val="Heading1"/>
      </w:pPr>
      <w:r>
        <w:t>Identificación del incremento</w:t>
      </w:r>
    </w:p>
    <w:tbl>
      <w:tblPr>
        <w:tblW w:type="auto" w:w="0"/>
        <w:jc w:val="center"/>
        <w:tblLayout w:type="fixed"/>
        <w:tblLook w:firstColumn="1" w:firstRow="1" w:lastColumn="0" w:lastRow="0" w:noHBand="0" w:noVBand="1" w:val="04A0"/>
      </w:tblPr>
      <w:tblGrid>
        <w:gridCol w:w="2381"/>
        <w:gridCol w:w="7455"/>
      </w:tblGrid>
      <w:tr>
        <w:trPr>
          <w:cantSplit/>
          <w:tblHeader/>
        </w:trPr>
        <w:tc>
          <w:tcPr>
            <w:tcW w:type="dxa" w:w="2381"/>
            <w:vAlign w:val="center"/>
            <w:tcMar>
              <w:top w:w="35" w:type="dxa"/>
              <w:bottom w:w="35" w:type="dxa"/>
              <w:left w:w="70" w:type="dxa"/>
              <w:right w:w="70" w:type="dxa"/>
            </w:tcMar>
          </w:tcPr>
          <w:p>
            <w:pPr>
              <w:spacing w:after="20" w:before="0" w:line="240" w:lineRule="auto"/>
            </w:pPr>
            <w:r>
              <w:rPr>
                <w:b/>
                <w:sz w:val="17"/>
              </w:rPr>
              <w:t>Campo</w:t>
            </w:r>
          </w:p>
        </w:tc>
        <w:tc>
          <w:tcPr>
            <w:tcW w:type="dxa" w:w="7455"/>
            <w:vAlign w:val="center"/>
            <w:tcMar>
              <w:top w:w="35" w:type="dxa"/>
              <w:bottom w:w="35" w:type="dxa"/>
              <w:left w:w="70" w:type="dxa"/>
              <w:right w:w="70" w:type="dxa"/>
            </w:tcMar>
          </w:tcPr>
          <w:p>
            <w:pPr>
              <w:spacing w:after="20" w:before="0" w:line="240" w:lineRule="auto"/>
            </w:pPr>
            <w:r>
              <w:rPr>
                <w:b/>
                <w:sz w:val="17"/>
              </w:rPr>
              <w:t>Registro</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Grupo / Empresa</w:t>
            </w:r>
          </w:p>
        </w:tc>
        <w:tc>
          <w:tcPr>
            <w:tcW w:type="dxa" w:w="7455"/>
            <w:vAlign w:val="center"/>
            <w:tcMar>
              <w:top w:w="35" w:type="dxa"/>
              <w:bottom w:w="35" w:type="dxa"/>
              <w:left w:w="70" w:type="dxa"/>
              <w:right w:w="70" w:type="dxa"/>
            </w:tcMar>
          </w:tcPr>
          <w:p>
            <w:pPr>
              <w:spacing w:after="20" w:before="0" w:line="240" w:lineRule="auto"/>
            </w:pPr>
            <w:r>
              <w:rPr>
                <w:b w:val="0"/>
                <w:sz w:val="17"/>
              </w:rPr>
              <w:t>G7 / IMPORTACIONES MYS HERMANOS S.A.C.</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Entrega máxima</w:t>
            </w:r>
          </w:p>
        </w:tc>
        <w:tc>
          <w:tcPr>
            <w:tcW w:type="dxa" w:w="7455"/>
            <w:vAlign w:val="center"/>
            <w:tcMar>
              <w:top w:w="35" w:type="dxa"/>
              <w:bottom w:w="35" w:type="dxa"/>
              <w:left w:w="70" w:type="dxa"/>
              <w:right w:w="70" w:type="dxa"/>
            </w:tcMar>
          </w:tcPr>
          <w:p>
            <w:pPr>
              <w:spacing w:after="20" w:before="0" w:line="240" w:lineRule="auto"/>
            </w:pPr>
            <w:r>
              <w:rPr>
                <w:b w:val="0"/>
                <w:sz w:val="17"/>
              </w:rPr>
              <w:t>16/10/2026 · 17:00 (hora Perú), según rúbrica v2.1</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Exposición</w:t>
            </w:r>
          </w:p>
        </w:tc>
        <w:tc>
          <w:tcPr>
            <w:tcW w:type="dxa" w:w="7455"/>
            <w:vAlign w:val="center"/>
            <w:tcMar>
              <w:top w:w="35" w:type="dxa"/>
              <w:bottom w:w="35" w:type="dxa"/>
              <w:left w:w="70" w:type="dxa"/>
              <w:right w:w="70" w:type="dxa"/>
            </w:tcMar>
          </w:tcPr>
          <w:p>
            <w:pPr>
              <w:spacing w:after="20" w:before="0" w:line="240" w:lineRule="auto"/>
            </w:pPr>
            <w:r>
              <w:rPr>
                <w:b w:val="0"/>
                <w:sz w:val="17"/>
              </w:rPr>
              <w:t>17/10/2026 · desde 09:30; UNA persona, máximo 10 min</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Versión</w:t>
            </w:r>
          </w:p>
        </w:tc>
        <w:tc>
          <w:tcPr>
            <w:tcW w:type="dxa" w:w="7455"/>
            <w:vAlign w:val="center"/>
            <w:tcMar>
              <w:top w:w="35" w:type="dxa"/>
              <w:bottom w:w="35" w:type="dxa"/>
              <w:left w:w="70" w:type="dxa"/>
              <w:right w:w="70" w:type="dxa"/>
            </w:tcMar>
          </w:tcPr>
          <w:p>
            <w:pPr>
              <w:spacing w:after="20" w:before="0" w:line="240" w:lineRule="auto"/>
            </w:pPr>
            <w:r>
              <w:rPr>
                <w:b w:val="0"/>
                <w:sz w:val="17"/>
              </w:rPr>
              <w:t>PC2 v2.1 (sustituye guion evaluable v2.0)</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Repositorio</w:t>
            </w:r>
          </w:p>
        </w:tc>
        <w:tc>
          <w:tcPr>
            <w:tcW w:type="dxa" w:w="7455"/>
            <w:vAlign w:val="center"/>
            <w:tcMar>
              <w:top w:w="35" w:type="dxa"/>
              <w:bottom w:w="35" w:type="dxa"/>
              <w:left w:w="70" w:type="dxa"/>
              <w:right w:w="70" w:type="dxa"/>
            </w:tcMar>
          </w:tcPr>
          <w:p>
            <w:pPr>
              <w:spacing w:after="20" w:before="0" w:line="240" w:lineRule="auto"/>
            </w:pPr>
            <w:r>
              <w:rPr>
                <w:b w:val="0"/>
                <w:sz w:val="17"/>
              </w:rPr>
              <w:t>https://github.com/jharopr/ERP-SIE</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Expositor/a</w:t>
            </w:r>
          </w:p>
        </w:tc>
        <w:tc>
          <w:tcPr>
            <w:tcW w:type="dxa" w:w="7455"/>
            <w:vAlign w:val="center"/>
            <w:tcMar>
              <w:top w:w="35" w:type="dxa"/>
              <w:bottom w:w="35" w:type="dxa"/>
              <w:left w:w="70" w:type="dxa"/>
              <w:right w:w="70" w:type="dxa"/>
            </w:tcMar>
          </w:tcPr>
          <w:p>
            <w:r>
              <w:t>Expositor único asignado por el grupo (10 min máx. según rúbrica)</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Canal y segmento</w:t>
            </w:r>
          </w:p>
        </w:tc>
        <w:tc>
          <w:tcPr>
            <w:tcW w:type="dxa" w:w="7455"/>
            <w:vAlign w:val="center"/>
            <w:tcMar>
              <w:top w:w="35" w:type="dxa"/>
              <w:bottom w:w="35" w:type="dxa"/>
              <w:left w:w="70" w:type="dxa"/>
              <w:right w:w="70" w:type="dxa"/>
            </w:tcMar>
          </w:tcPr>
          <w:p>
            <w:pPr>
              <w:spacing w:after="20" w:before="0" w:line="240" w:lineRule="auto"/>
            </w:pPr>
            <w:r>
              <w:rPr>
                <w:b w:val="0"/>
                <w:sz w:val="17"/>
              </w:rPr>
              <w:t>Tienda física / clientes nuevos del público general</w:t>
            </w:r>
          </w:p>
        </w:tc>
      </w:tr>
    </w:tbl>
    <w:p>
      <w:pPr>
        <w:pStyle w:val="Heading1"/>
      </w:pPr>
      <w:r>
        <w:t>Integrantes y contribuciones verificables</w:t>
      </w:r>
    </w:p>
    <w:tbl>
      <w:tblPr>
        <w:tblW w:type="auto" w:w="0"/>
        <w:jc w:val="center"/>
        <w:tblLayout w:type="fixed"/>
        <w:tblLook w:firstColumn="1" w:firstRow="1" w:lastColumn="0" w:lastRow="0" w:noHBand="0" w:noVBand="1" w:val="04A0"/>
      </w:tblPr>
      <w:tblGrid>
        <w:gridCol w:w="3005"/>
        <w:gridCol w:w="4592"/>
        <w:gridCol w:w="2239"/>
      </w:tblGrid>
      <w:tr>
        <w:trPr>
          <w:cantSplit/>
          <w:tblHeader/>
        </w:trPr>
        <w:tc>
          <w:tcPr>
            <w:tcW w:type="dxa" w:w="3005"/>
            <w:vAlign w:val="center"/>
            <w:tcMar>
              <w:top w:w="35" w:type="dxa"/>
              <w:bottom w:w="35" w:type="dxa"/>
              <w:left w:w="70" w:type="dxa"/>
              <w:right w:w="70" w:type="dxa"/>
            </w:tcMar>
          </w:tcPr>
          <w:p>
            <w:pPr>
              <w:spacing w:after="20" w:before="0" w:line="240" w:lineRule="auto"/>
            </w:pPr>
            <w:r>
              <w:rPr>
                <w:b/>
                <w:sz w:val="17"/>
              </w:rPr>
              <w:t>Integrante</w:t>
            </w:r>
          </w:p>
        </w:tc>
        <w:tc>
          <w:tcPr>
            <w:tcW w:type="dxa" w:w="4592"/>
            <w:vAlign w:val="center"/>
            <w:tcMar>
              <w:top w:w="35" w:type="dxa"/>
              <w:bottom w:w="35" w:type="dxa"/>
              <w:left w:w="70" w:type="dxa"/>
              <w:right w:w="70" w:type="dxa"/>
            </w:tcMar>
          </w:tcPr>
          <w:p>
            <w:pPr>
              <w:spacing w:after="20" w:before="0" w:line="240" w:lineRule="auto"/>
            </w:pPr>
            <w:r>
              <w:rPr>
                <w:b/>
                <w:sz w:val="17"/>
              </w:rPr>
              <w:t>Contribución dentro de esta revisión</w:t>
            </w:r>
          </w:p>
        </w:tc>
        <w:tc>
          <w:tcPr>
            <w:tcW w:type="dxa" w:w="2239"/>
            <w:vAlign w:val="center"/>
            <w:tcMar>
              <w:top w:w="35" w:type="dxa"/>
              <w:bottom w:w="35" w:type="dxa"/>
              <w:left w:w="70" w:type="dxa"/>
              <w:right w:w="70" w:type="dxa"/>
            </w:tcMar>
          </w:tcPr>
          <w:p>
            <w:pPr>
              <w:spacing w:after="20" w:before="0" w:line="240" w:lineRule="auto"/>
            </w:pPr>
            <w:r>
              <w:rPr>
                <w:b/>
                <w:sz w:val="17"/>
              </w:rPr>
              <w:t>Estado</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Benjamín Francis Arancibia Ynga</w:t>
            </w:r>
          </w:p>
        </w:tc>
        <w:tc>
          <w:tcPr>
            <w:tcW w:type="dxa" w:w="4592"/>
            <w:vAlign w:val="center"/>
            <w:tcMar>
              <w:top w:w="35" w:type="dxa"/>
              <w:bottom w:w="35" w:type="dxa"/>
              <w:left w:w="70" w:type="dxa"/>
              <w:right w:w="70" w:type="dxa"/>
            </w:tcMar>
          </w:tcPr>
          <w:p>
            <w:r>
              <w:t>Continuidad de PC1 y delimitación del incremento: matriz de decisiones que se mantienen o ajustan; justificación del canal presencial y del alcance previo al pedido. Mapa y SIPOC solo como contexto.</w:t>
            </w:r>
          </w:p>
        </w:tc>
        <w:tc>
          <w:tcPr>
            <w:tcW w:type="dxa" w:w="2239"/>
            <w:vAlign w:val="center"/>
            <w:tcMar>
              <w:top w:w="35" w:type="dxa"/>
              <w:bottom w:w="35" w:type="dxa"/>
              <w:left w:w="70" w:type="dxa"/>
              <w:right w:w="70" w:type="dxa"/>
            </w:tcMar>
          </w:tcPr>
          <w:p>
            <w:r>
              <w:t>Contenido preparado e integrado (Sección 1)</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Adrián Antony Mansilla Soto</w:t>
            </w:r>
          </w:p>
        </w:tc>
        <w:tc>
          <w:tcPr>
            <w:tcW w:type="dxa" w:w="4592"/>
            <w:vAlign w:val="center"/>
            <w:tcMar>
              <w:top w:w="35" w:type="dxa"/>
              <w:bottom w:w="35" w:type="dxa"/>
              <w:left w:w="70" w:type="dxa"/>
              <w:right w:w="70" w:type="dxa"/>
            </w:tcMar>
          </w:tcPr>
          <w:p>
            <w:r>
              <w:t>Caso normal y excepción prioritaria: dos casos con decisión, responsable, evidencia esperada, impacto para el cliente y respuesta propuesta. Flujo comercial como apoyo opcional (BPMN D01-D05).</w:t>
            </w:r>
          </w:p>
        </w:tc>
        <w:tc>
          <w:tcPr>
            <w:tcW w:type="dxa" w:w="2239"/>
            <w:vAlign w:val="center"/>
            <w:tcMar>
              <w:top w:w="35" w:type="dxa"/>
              <w:bottom w:w="35" w:type="dxa"/>
              <w:left w:w="70" w:type="dxa"/>
              <w:right w:w="70" w:type="dxa"/>
            </w:tcMar>
          </w:tcPr>
          <w:p>
            <w:r>
              <w:t>Contenido preparado e integrado (Sección 4 y Anexos D01-D05)</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Shirley Carrión Oré</w:t>
            </w:r>
          </w:p>
        </w:tc>
        <w:tc>
          <w:tcPr>
            <w:tcW w:type="dxa" w:w="4592"/>
            <w:vAlign w:val="center"/>
            <w:tcMar>
              <w:top w:w="35" w:type="dxa"/>
              <w:bottom w:w="35" w:type="dxa"/>
              <w:left w:w="70" w:type="dxa"/>
              <w:right w:w="70" w:type="dxa"/>
            </w:tcMar>
          </w:tcPr>
          <w:p>
            <w:r>
              <w:t>Escenario CRM y contexto del cliente: cuenta, contacto, canal, fuente, interacción, necesidad, lead, oportunidad, probabilidad, competidores, actividades y cotización con versión, precio, descuento y vigencia.</w:t>
            </w:r>
          </w:p>
        </w:tc>
        <w:tc>
          <w:tcPr>
            <w:tcW w:type="dxa" w:w="2239"/>
            <w:vAlign w:val="center"/>
            <w:tcMar>
              <w:top w:w="35" w:type="dxa"/>
              <w:bottom w:w="35" w:type="dxa"/>
              <w:left w:w="70" w:type="dxa"/>
              <w:right w:w="70" w:type="dxa"/>
            </w:tcMar>
          </w:tcPr>
          <w:p>
            <w:r>
              <w:t>Contenido completado e integrado (Sección 2)</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Gabriel Omar Chavez Mendoza</w:t>
            </w:r>
          </w:p>
        </w:tc>
        <w:tc>
          <w:tcPr>
            <w:tcW w:type="dxa" w:w="4592"/>
            <w:vAlign w:val="center"/>
            <w:tcMar>
              <w:top w:w="35" w:type="dxa"/>
              <w:bottom w:w="35" w:type="dxa"/>
              <w:left w:w="70" w:type="dxa"/>
              <w:right w:w="70" w:type="dxa"/>
            </w:tcMar>
          </w:tcPr>
          <w:p>
            <w:r>
              <w:t>Decisiones comerciales y frontera conceptual CRM–ERP: descuento excepcional, disponibilidad o promesa y condición de facturación, con responsables y evidencia; explicación de qué conserva CRM y qué ejecutará ERP.</w:t>
            </w:r>
          </w:p>
        </w:tc>
        <w:tc>
          <w:tcPr>
            <w:tcW w:type="dxa" w:w="2239"/>
            <w:vAlign w:val="center"/>
            <w:tcMar>
              <w:top w:w="35" w:type="dxa"/>
              <w:bottom w:w="35" w:type="dxa"/>
              <w:left w:w="70" w:type="dxa"/>
              <w:right w:w="70" w:type="dxa"/>
            </w:tcMar>
          </w:tcPr>
          <w:p>
            <w:r>
              <w:t>Contenido completado e integrado (Sección 3)</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Jharolym Friendly Paucarcaja Ramos</w:t>
            </w:r>
          </w:p>
        </w:tc>
        <w:tc>
          <w:tcPr>
            <w:tcW w:type="dxa" w:w="4592"/>
            <w:vAlign w:val="center"/>
            <w:tcMar>
              <w:top w:w="35" w:type="dxa"/>
              <w:bottom w:w="35" w:type="dxa"/>
              <w:left w:w="70" w:type="dxa"/>
              <w:right w:w="70" w:type="dxa"/>
            </w:tcMar>
          </w:tcPr>
          <w:p>
            <w:r>
              <w:t>Fuentes, límites y consolidación del documento: fuentes y fechas, supuestos, vacíos, declaración de IA y continuidad. Verificación de enlaces, versión y coherencia de la entrega.</w:t>
            </w:r>
          </w:p>
        </w:tc>
        <w:tc>
          <w:tcPr>
            <w:tcW w:type="dxa" w:w="2239"/>
            <w:vAlign w:val="center"/>
            <w:tcMar>
              <w:top w:w="35" w:type="dxa"/>
              <w:bottom w:w="35" w:type="dxa"/>
              <w:left w:w="70" w:type="dxa"/>
              <w:right w:w="70" w:type="dxa"/>
            </w:tcMar>
          </w:tcPr>
          <w:p>
            <w:r>
              <w:t>Contenido completado e integrado (Sección 5 y consolidación)</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Ballack Zidane Quintanilla Huamanraime</w:t>
            </w:r>
          </w:p>
        </w:tc>
        <w:tc>
          <w:tcPr>
            <w:tcW w:type="dxa" w:w="4592"/>
            <w:vAlign w:val="center"/>
            <w:tcMar>
              <w:top w:w="35" w:type="dxa"/>
              <w:bottom w:w="35" w:type="dxa"/>
              <w:left w:w="70" w:type="dxa"/>
              <w:right w:w="70" w:type="dxa"/>
            </w:tcMar>
          </w:tcPr>
          <w:p>
            <w:r>
              <w:t>Revisión de datos comerciales y evidencias: comprobación de cifras, versiones, condiciones y evidencias de los dos casos; registro de observaciones, pruebas y correcciones.</w:t>
            </w:r>
          </w:p>
        </w:tc>
        <w:tc>
          <w:tcPr>
            <w:tcW w:type="dxa" w:w="2239"/>
            <w:vAlign w:val="center"/>
            <w:tcMar>
              <w:top w:w="35" w:type="dxa"/>
              <w:bottom w:w="35" w:type="dxa"/>
              <w:left w:w="70" w:type="dxa"/>
              <w:right w:w="70" w:type="dxa"/>
            </w:tcMar>
          </w:tcPr>
          <w:p>
            <w:r>
              <w:t>Revisado y verificado: validación de coherencia de cifras, datos y evidencias de casos</w:t>
            </w:r>
          </w:p>
        </w:tc>
      </w:tr>
    </w:tbl>
    <w:p>
      <w:pPr>
        <w:pStyle w:val="Heading1"/>
        <w:pageBreakBefore/>
      </w:pPr>
      <w:r>
        <w:t>1 Incremento desde PC1</w:t>
      </w:r>
    </w:p>
    <w:p>
      <w:r>
        <w:t>En PC1 se seleccionó conceptualmente Odoo como núcleo ERP para clientes, ventas e inventarios, y UBLHUB para una futura emisión tributaria. La documentación de PC1 recoge atención presencial y WhatsApp manual. En PC2 delimitamos el caso a un cliente nuevo del público general que visita la tienda física, para analizar su necesidad, seguimiento y oferta antes del compromiso transaccional. Conservamos las decisiones de arquitectura como propuesta, sin afirmar un despliegue verificado.</w:t>
      </w:r>
    </w:p>
    <w:tbl>
      <w:tblPr>
        <w:tblW w:type="auto" w:w="0"/>
        <w:jc w:val="center"/>
        <w:tblLayout w:type="fixed"/>
        <w:tblLook w:firstColumn="1" w:firstRow="1" w:lastColumn="0" w:lastRow="0" w:noHBand="0" w:noVBand="1" w:val="04A0"/>
      </w:tblPr>
      <w:tblGrid>
        <w:gridCol w:w="2438"/>
        <w:gridCol w:w="2608"/>
        <w:gridCol w:w="4791"/>
      </w:tblGrid>
      <w:tr>
        <w:trPr>
          <w:cantSplit/>
          <w:tblHeader/>
        </w:trPr>
        <w:tc>
          <w:tcPr>
            <w:tcW w:type="dxa" w:w="2438"/>
            <w:vAlign w:val="center"/>
            <w:tcMar>
              <w:top w:w="35" w:type="dxa"/>
              <w:bottom w:w="35" w:type="dxa"/>
              <w:left w:w="70" w:type="dxa"/>
              <w:right w:w="70" w:type="dxa"/>
            </w:tcMar>
          </w:tcPr>
          <w:p>
            <w:pPr>
              <w:spacing w:after="20" w:before="0" w:line="240" w:lineRule="auto"/>
            </w:pPr>
            <w:r>
              <w:rPr>
                <w:b/>
                <w:sz w:val="17"/>
              </w:rPr>
              <w:t>Decisión</w:t>
            </w:r>
          </w:p>
        </w:tc>
        <w:tc>
          <w:tcPr>
            <w:tcW w:type="dxa" w:w="2608"/>
            <w:vAlign w:val="center"/>
            <w:tcMar>
              <w:top w:w="35" w:type="dxa"/>
              <w:bottom w:w="35" w:type="dxa"/>
              <w:left w:w="70" w:type="dxa"/>
              <w:right w:w="70" w:type="dxa"/>
            </w:tcMar>
          </w:tcPr>
          <w:p>
            <w:pPr>
              <w:spacing w:after="20" w:before="0" w:line="240" w:lineRule="auto"/>
            </w:pPr>
            <w:r>
              <w:rPr>
                <w:b/>
                <w:sz w:val="17"/>
              </w:rPr>
              <w:t>Tratamiento v2.1</w:t>
            </w:r>
          </w:p>
        </w:tc>
        <w:tc>
          <w:tcPr>
            <w:tcW w:type="dxa" w:w="4791"/>
            <w:vAlign w:val="center"/>
            <w:tcMar>
              <w:top w:w="35" w:type="dxa"/>
              <w:bottom w:w="35" w:type="dxa"/>
              <w:left w:w="70" w:type="dxa"/>
              <w:right w:w="70" w:type="dxa"/>
            </w:tcMar>
          </w:tcPr>
          <w:p>
            <w:pPr>
              <w:spacing w:after="20" w:before="0" w:line="240" w:lineRule="auto"/>
            </w:pPr>
            <w:r>
              <w:rPr>
                <w:b/>
                <w:sz w:val="17"/>
              </w:rPr>
              <w:t>Justificación y efecto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Odoo ERP central</w:t>
            </w:r>
          </w:p>
        </w:tc>
        <w:tc>
          <w:tcPr>
            <w:tcW w:type="dxa" w:w="2608"/>
            <w:vAlign w:val="center"/>
            <w:tcMar>
              <w:top w:w="35" w:type="dxa"/>
              <w:bottom w:w="35" w:type="dxa"/>
              <w:left w:w="70" w:type="dxa"/>
              <w:right w:w="70" w:type="dxa"/>
            </w:tcMar>
          </w:tcPr>
          <w:p>
            <w:pPr>
              <w:spacing w:after="20" w:before="0" w:line="240" w:lineRule="auto"/>
            </w:pPr>
            <w:r>
              <w:rPr>
                <w:b w:val="0"/>
                <w:sz w:val="17"/>
              </w:rPr>
              <w:t>Se mantiene</w:t>
            </w:r>
          </w:p>
        </w:tc>
        <w:tc>
          <w:tcPr>
            <w:tcW w:type="dxa" w:w="4791"/>
            <w:vAlign w:val="center"/>
            <w:tcMar>
              <w:top w:w="35" w:type="dxa"/>
              <w:bottom w:w="35" w:type="dxa"/>
              <w:left w:w="70" w:type="dxa"/>
              <w:right w:w="70" w:type="dxa"/>
            </w:tcMar>
          </w:tcPr>
          <w:p>
            <w:pPr>
              <w:spacing w:after="20" w:before="0" w:line="240" w:lineRule="auto"/>
            </w:pPr>
            <w:r>
              <w:rPr>
                <w:b w:val="0"/>
                <w:sz w:val="17"/>
              </w:rPr>
              <w:t>Conserva referencias oficiales de catálogo, precios e inventario; sin despliegue verificado.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UBLHUB</w:t>
            </w:r>
          </w:p>
        </w:tc>
        <w:tc>
          <w:tcPr>
            <w:tcW w:type="dxa" w:w="2608"/>
            <w:vAlign w:val="center"/>
            <w:tcMar>
              <w:top w:w="35" w:type="dxa"/>
              <w:bottom w:w="35" w:type="dxa"/>
              <w:left w:w="70" w:type="dxa"/>
              <w:right w:w="70" w:type="dxa"/>
            </w:tcMar>
          </w:tcPr>
          <w:p>
            <w:pPr>
              <w:spacing w:after="20" w:before="0" w:line="240" w:lineRule="auto"/>
            </w:pPr>
            <w:r>
              <w:rPr>
                <w:b w:val="0"/>
                <w:sz w:val="17"/>
              </w:rPr>
              <w:t>Se mantiene fuera de PC2</w:t>
            </w:r>
          </w:p>
        </w:tc>
        <w:tc>
          <w:tcPr>
            <w:tcW w:type="dxa" w:w="4791"/>
            <w:vAlign w:val="center"/>
            <w:tcMar>
              <w:top w:w="35" w:type="dxa"/>
              <w:bottom w:w="35" w:type="dxa"/>
              <w:left w:w="70" w:type="dxa"/>
              <w:right w:w="70" w:type="dxa"/>
            </w:tcMar>
          </w:tcPr>
          <w:p>
            <w:pPr>
              <w:spacing w:after="20" w:before="0" w:line="240" w:lineRule="auto"/>
            </w:pPr>
            <w:r>
              <w:rPr>
                <w:b w:val="0"/>
                <w:sz w:val="17"/>
              </w:rPr>
              <w:t>La condición de facturación se explica conceptualmente; no se emiten documentos.</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Clientes prioritarios</w:t>
            </w:r>
          </w:p>
        </w:tc>
        <w:tc>
          <w:tcPr>
            <w:tcW w:type="dxa" w:w="2608"/>
            <w:vAlign w:val="center"/>
            <w:tcMar>
              <w:top w:w="35" w:type="dxa"/>
              <w:bottom w:w="35" w:type="dxa"/>
              <w:left w:w="70" w:type="dxa"/>
              <w:right w:w="70" w:type="dxa"/>
            </w:tcMar>
          </w:tcPr>
          <w:p>
            <w:pPr>
              <w:spacing w:after="20" w:before="0" w:line="240" w:lineRule="auto"/>
            </w:pPr>
            <w:r>
              <w:rPr>
                <w:b w:val="0"/>
                <w:sz w:val="17"/>
              </w:rPr>
              <w:t>Se delimita</w:t>
            </w:r>
          </w:p>
        </w:tc>
        <w:tc>
          <w:tcPr>
            <w:tcW w:type="dxa" w:w="4791"/>
            <w:vAlign w:val="center"/>
            <w:tcMar>
              <w:top w:w="35" w:type="dxa"/>
              <w:bottom w:w="35" w:type="dxa"/>
              <w:left w:w="70" w:type="dxa"/>
              <w:right w:w="70" w:type="dxa"/>
            </w:tcMar>
          </w:tcPr>
          <w:p>
            <w:pPr>
              <w:spacing w:after="20" w:before="0" w:line="240" w:lineRule="auto"/>
            </w:pPr>
            <w:r>
              <w:rPr>
                <w:b w:val="0"/>
                <w:sz w:val="17"/>
              </w:rPr>
              <w:t>Público general NUEVO; mayoristas no forman parte del caso evaluable.</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Canal prioritario</w:t>
            </w:r>
          </w:p>
        </w:tc>
        <w:tc>
          <w:tcPr>
            <w:tcW w:type="dxa" w:w="2608"/>
            <w:vAlign w:val="center"/>
            <w:tcMar>
              <w:top w:w="35" w:type="dxa"/>
              <w:bottom w:w="35" w:type="dxa"/>
              <w:left w:w="70" w:type="dxa"/>
              <w:right w:w="70" w:type="dxa"/>
            </w:tcMar>
          </w:tcPr>
          <w:p>
            <w:pPr>
              <w:spacing w:after="20" w:before="0" w:line="240" w:lineRule="auto"/>
            </w:pPr>
            <w:r>
              <w:rPr>
                <w:b w:val="0"/>
                <w:sz w:val="17"/>
              </w:rPr>
              <w:t>Se delimita</w:t>
            </w:r>
          </w:p>
        </w:tc>
        <w:tc>
          <w:tcPr>
            <w:tcW w:type="dxa" w:w="4791"/>
            <w:vAlign w:val="center"/>
            <w:tcMar>
              <w:top w:w="35" w:type="dxa"/>
              <w:bottom w:w="35" w:type="dxa"/>
              <w:left w:w="70" w:type="dxa"/>
              <w:right w:w="70" w:type="dxa"/>
            </w:tcMar>
          </w:tcPr>
          <w:p>
            <w:pPr>
              <w:spacing w:after="20" w:before="0" w:line="240" w:lineRule="auto"/>
            </w:pPr>
            <w:r>
              <w:rPr>
                <w:b w:val="0"/>
                <w:sz w:val="17"/>
              </w:rPr>
              <w:t>Atención presencial; WhatsApp queda en línea base histórica PC1.</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Capa CRM</w:t>
            </w:r>
          </w:p>
        </w:tc>
        <w:tc>
          <w:tcPr>
            <w:tcW w:type="dxa" w:w="2608"/>
            <w:vAlign w:val="center"/>
            <w:tcMar>
              <w:top w:w="35" w:type="dxa"/>
              <w:bottom w:w="35" w:type="dxa"/>
              <w:left w:w="70" w:type="dxa"/>
              <w:right w:w="70" w:type="dxa"/>
            </w:tcMar>
          </w:tcPr>
          <w:p>
            <w:pPr>
              <w:spacing w:after="20" w:before="0" w:line="240" w:lineRule="auto"/>
            </w:pPr>
            <w:r>
              <w:rPr>
                <w:b w:val="0"/>
                <w:sz w:val="17"/>
              </w:rPr>
              <w:t>Se incorpora como perspectiva comercial</w:t>
            </w:r>
          </w:p>
        </w:tc>
        <w:tc>
          <w:tcPr>
            <w:tcW w:type="dxa" w:w="4791"/>
            <w:vAlign w:val="center"/>
            <w:tcMar>
              <w:top w:w="35" w:type="dxa"/>
              <w:bottom w:w="35" w:type="dxa"/>
              <w:left w:w="70" w:type="dxa"/>
              <w:right w:w="70" w:type="dxa"/>
            </w:tcMar>
          </w:tcPr>
          <w:p>
            <w:pPr>
              <w:spacing w:after="20" w:before="0" w:line="240" w:lineRule="auto"/>
            </w:pPr>
            <w:r>
              <w:rPr>
                <w:b w:val="0"/>
                <w:sz w:val="17"/>
              </w:rPr>
              <w:t>Cuenta, contacto, fuente, interacción, lead, oportunidad, cotización y seguimiento.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Frontera CRM–ERP</w:t>
            </w:r>
          </w:p>
        </w:tc>
        <w:tc>
          <w:tcPr>
            <w:tcW w:type="dxa" w:w="2608"/>
            <w:vAlign w:val="center"/>
            <w:tcMar>
              <w:top w:w="35" w:type="dxa"/>
              <w:bottom w:w="35" w:type="dxa"/>
              <w:left w:w="70" w:type="dxa"/>
              <w:right w:w="70" w:type="dxa"/>
            </w:tcMar>
          </w:tcPr>
          <w:p>
            <w:pPr>
              <w:spacing w:after="20" w:before="0" w:line="240" w:lineRule="auto"/>
            </w:pPr>
            <w:r>
              <w:rPr>
                <w:b w:val="0"/>
                <w:sz w:val="17"/>
              </w:rPr>
              <w:t>Se explica conceptualmente</w:t>
            </w:r>
          </w:p>
        </w:tc>
        <w:tc>
          <w:tcPr>
            <w:tcW w:type="dxa" w:w="4791"/>
            <w:vAlign w:val="center"/>
            <w:tcMar>
              <w:top w:w="35" w:type="dxa"/>
              <w:bottom w:w="35" w:type="dxa"/>
              <w:left w:w="70" w:type="dxa"/>
              <w:right w:w="70" w:type="dxa"/>
            </w:tcMar>
          </w:tcPr>
          <w:p>
            <w:pPr>
              <w:spacing w:after="20" w:before="0" w:line="240" w:lineRule="auto"/>
            </w:pPr>
            <w:r>
              <w:rPr>
                <w:b w:val="0"/>
                <w:sz w:val="17"/>
              </w:rPr>
              <w:t>CRM conserva intención/oferta; ERP comprometerá recursos al crear pedidos más adelante.</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O2C y P2P / importaciones</w:t>
            </w:r>
          </w:p>
        </w:tc>
        <w:tc>
          <w:tcPr>
            <w:tcW w:type="dxa" w:w="2608"/>
            <w:vAlign w:val="center"/>
            <w:tcMar>
              <w:top w:w="35" w:type="dxa"/>
              <w:bottom w:w="35" w:type="dxa"/>
              <w:left w:w="70" w:type="dxa"/>
              <w:right w:w="70" w:type="dxa"/>
            </w:tcMar>
          </w:tcPr>
          <w:p>
            <w:pPr>
              <w:spacing w:after="20" w:before="0" w:line="240" w:lineRule="auto"/>
            </w:pPr>
            <w:r>
              <w:rPr>
                <w:b w:val="0"/>
                <w:sz w:val="17"/>
              </w:rPr>
              <w:t>Se mantienen como contexto</w:t>
            </w:r>
          </w:p>
        </w:tc>
        <w:tc>
          <w:tcPr>
            <w:tcW w:type="dxa" w:w="4791"/>
            <w:vAlign w:val="center"/>
            <w:tcMar>
              <w:top w:w="35" w:type="dxa"/>
              <w:bottom w:w="35" w:type="dxa"/>
              <w:left w:w="70" w:type="dxa"/>
              <w:right w:w="70" w:type="dxa"/>
            </w:tcMar>
          </w:tcPr>
          <w:p>
            <w:pPr>
              <w:spacing w:after="20" w:before="0" w:line="240" w:lineRule="auto"/>
            </w:pPr>
            <w:r>
              <w:rPr>
                <w:b w:val="0"/>
                <w:sz w:val="17"/>
              </w:rPr>
              <w:t>Macroprocesos de Semana 5; no amplían el alcance evaluado.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Diagramas BPMN comerciales</w:t>
            </w:r>
          </w:p>
        </w:tc>
        <w:tc>
          <w:tcPr>
            <w:tcW w:type="dxa" w:w="2608"/>
            <w:vAlign w:val="center"/>
            <w:tcMar>
              <w:top w:w="35" w:type="dxa"/>
              <w:bottom w:w="35" w:type="dxa"/>
              <w:left w:w="70" w:type="dxa"/>
              <w:right w:w="70" w:type="dxa"/>
            </w:tcMar>
          </w:tcPr>
          <w:p>
            <w:pPr>
              <w:spacing w:after="20" w:before="0" w:line="240" w:lineRule="auto"/>
            </w:pPr>
            <w:r>
              <w:rPr>
                <w:b w:val="0"/>
                <w:sz w:val="17"/>
              </w:rPr>
              <w:t>Apoyo visual, no requisito técnico</w:t>
            </w:r>
          </w:p>
        </w:tc>
        <w:tc>
          <w:tcPr>
            <w:tcW w:type="dxa" w:w="4791"/>
            <w:vAlign w:val="center"/>
            <w:tcMar>
              <w:top w:w="35" w:type="dxa"/>
              <w:bottom w:w="35" w:type="dxa"/>
              <w:left w:w="70" w:type="dxa"/>
              <w:right w:w="70" w:type="dxa"/>
            </w:tcMar>
          </w:tcPr>
          <w:p>
            <w:pPr>
              <w:spacing w:after="20" w:before="0" w:line="240" w:lineRule="auto"/>
            </w:pPr>
            <w:r>
              <w:rPr>
                <w:b w:val="0"/>
                <w:sz w:val="17"/>
              </w:rPr>
              <w:t>D01-D05 apoyan la explicación del tramo comercial. Sus procesos llamados son detalles del mismo escenario; el contrato técnico queda como continuidad.</w:t>
            </w:r>
          </w:p>
        </w:tc>
      </w:tr>
    </w:tbl>
    <w:p>
      <w:r>
        <w:t>Mapa de procesos de nivel 1. Estratégicos: dirección, política de precios y calidad. Misionales: compras e importaciones, inventario, captación presencial, cotización y venta futura. Soporte: personas, TI, contabilidad y datos. O2C abarca la relación comercial hasta el cobro y la entrega; aquí solo se analiza su tramo previo al pedido. P2P vincula proveedor, reposición, recepción y pago como contexto de abastecimiento.</w:t>
      </w:r>
    </w:p>
    <w:p>
      <w:r>
        <w:t>Aporte de Benjamín. La matriz mantiene la arquitectura de PC1 y justifica la delimitación a tienda física y público general. El SIPOC siguiente resume el tramo comercial analizado; no convierte compras, cobro o entrega en actividades evaluables de PC2. La continuidad técnica se conserva como investigación posterior.</w:t>
      </w:r>
    </w:p>
    <w:tbl>
      <w:tblPr>
        <w:tblW w:type="auto" w:w="0"/>
        <w:tblLayout w:type="fixed"/>
        <w:tblLook w:firstColumn="1" w:firstRow="1" w:lastColumn="0" w:lastRow="0" w:noHBand="0" w:noVBand="1" w:val="04A0"/>
      </w:tblPr>
      <w:tblGrid>
        <w:gridCol w:w="1928"/>
        <w:gridCol w:w="7909"/>
      </w:tblGrid>
      <w:tr>
        <w:trPr>
          <w:cantSplit/>
          <w:tblHeader/>
        </w:trPr>
        <w:tc>
          <w:tcPr>
            <w:tcW w:type="dxa" w:w="1928"/>
            <w:tcMar>
              <w:top w:w="35" w:type="dxa"/>
              <w:bottom w:w="35" w:type="dxa"/>
              <w:left w:w="70" w:type="dxa"/>
              <w:right w:w="70" w:type="dxa"/>
            </w:tcMar>
          </w:tcPr>
          <w:p>
            <w:pPr>
              <w:spacing w:after="20" w:before="0" w:line="240" w:lineRule="auto"/>
            </w:pPr>
            <w:r>
              <w:rPr>
                <w:b/>
                <w:sz w:val="17"/>
              </w:rPr>
              <w:t>Elemento SIPOC</w:t>
            </w:r>
          </w:p>
        </w:tc>
        <w:tc>
          <w:tcPr>
            <w:tcW w:type="dxa" w:w="7909"/>
            <w:tcMar>
              <w:top w:w="35" w:type="dxa"/>
              <w:bottom w:w="35" w:type="dxa"/>
              <w:left w:w="70" w:type="dxa"/>
              <w:right w:w="70" w:type="dxa"/>
            </w:tcMar>
          </w:tcPr>
          <w:p>
            <w:pPr>
              <w:spacing w:after="20" w:before="0" w:line="240" w:lineRule="auto"/>
            </w:pPr>
            <w:r>
              <w:rPr>
                <w:b/>
                <w:sz w:val="17"/>
              </w:rPr>
              <w:t>Contexto del tramo previo al pedido</w:t>
            </w:r>
          </w:p>
        </w:tc>
      </w:tr>
      <w:tr>
        <w:trPr>
          <w:cantSplit/>
        </w:trPr>
        <w:tc>
          <w:tcPr>
            <w:tcW w:type="dxa" w:w="1928"/>
            <w:tcMar>
              <w:top w:w="35" w:type="dxa"/>
              <w:bottom w:w="35" w:type="dxa"/>
              <w:left w:w="70" w:type="dxa"/>
              <w:right w:w="70" w:type="dxa"/>
            </w:tcMar>
          </w:tcPr>
          <w:p>
            <w:pPr>
              <w:spacing w:after="20" w:before="0" w:line="240" w:lineRule="auto"/>
            </w:pPr>
            <w:r>
              <w:rPr>
                <w:b w:val="0"/>
                <w:sz w:val="17"/>
              </w:rPr>
              <w:t>Proveedores de información</w:t>
            </w:r>
          </w:p>
        </w:tc>
        <w:tc>
          <w:tcPr>
            <w:tcW w:type="dxa" w:w="7909"/>
            <w:tcMar>
              <w:top w:w="35" w:type="dxa"/>
              <w:bottom w:w="35" w:type="dxa"/>
              <w:left w:w="70" w:type="dxa"/>
              <w:right w:w="70" w:type="dxa"/>
            </w:tcMar>
          </w:tcPr>
          <w:p>
            <w:pPr>
              <w:spacing w:after="20" w:before="0" w:line="240" w:lineRule="auto"/>
            </w:pPr>
            <w:r>
              <w:rPr>
                <w:b w:val="0"/>
                <w:sz w:val="17"/>
              </w:rPr>
              <w:t>Cliente: necesidad y preferencias. Vendedor: registro comercial. Dueño: reglas y decisiones. Catálogo e inventario: referencia disponible.</w:t>
            </w:r>
          </w:p>
        </w:tc>
      </w:tr>
      <w:tr>
        <w:trPr>
          <w:cantSplit/>
        </w:trPr>
        <w:tc>
          <w:tcPr>
            <w:tcW w:type="dxa" w:w="1928"/>
            <w:tcMar>
              <w:top w:w="35" w:type="dxa"/>
              <w:bottom w:w="35" w:type="dxa"/>
              <w:left w:w="70" w:type="dxa"/>
              <w:right w:w="70" w:type="dxa"/>
            </w:tcMar>
          </w:tcPr>
          <w:p>
            <w:pPr>
              <w:spacing w:after="20" w:before="0" w:line="240" w:lineRule="auto"/>
            </w:pPr>
            <w:r>
              <w:rPr>
                <w:b w:val="0"/>
                <w:sz w:val="17"/>
              </w:rPr>
              <w:t>Entradas</w:t>
            </w:r>
          </w:p>
        </w:tc>
        <w:tc>
          <w:tcPr>
            <w:tcW w:type="dxa" w:w="7909"/>
            <w:tcMar>
              <w:top w:w="35" w:type="dxa"/>
              <w:bottom w:w="35" w:type="dxa"/>
              <w:left w:w="70" w:type="dxa"/>
              <w:right w:w="70" w:type="dxa"/>
            </w:tcMar>
          </w:tcPr>
          <w:p>
            <w:pPr>
              <w:spacing w:after="20" w:before="0" w:line="240" w:lineRule="auto"/>
            </w:pPr>
            <w:r>
              <w:rPr>
                <w:b w:val="0"/>
                <w:sz w:val="17"/>
              </w:rPr>
              <w:t>Consulta presencial, datos mínimos autorizados, producto y cantidad, precio de referencia y disponibilidad observada.</w:t>
            </w:r>
          </w:p>
        </w:tc>
      </w:tr>
      <w:tr>
        <w:trPr>
          <w:cantSplit/>
        </w:trPr>
        <w:tc>
          <w:tcPr>
            <w:tcW w:type="dxa" w:w="1928"/>
            <w:tcMar>
              <w:top w:w="35" w:type="dxa"/>
              <w:bottom w:w="35" w:type="dxa"/>
              <w:left w:w="70" w:type="dxa"/>
              <w:right w:w="70" w:type="dxa"/>
            </w:tcMar>
          </w:tcPr>
          <w:p>
            <w:pPr>
              <w:spacing w:after="20" w:before="0" w:line="240" w:lineRule="auto"/>
            </w:pPr>
            <w:r>
              <w:rPr>
                <w:b w:val="0"/>
                <w:sz w:val="17"/>
              </w:rPr>
              <w:t>Proceso</w:t>
            </w:r>
          </w:p>
        </w:tc>
        <w:tc>
          <w:tcPr>
            <w:tcW w:type="dxa" w:w="7909"/>
            <w:tcMar>
              <w:top w:w="35" w:type="dxa"/>
              <w:bottom w:w="35" w:type="dxa"/>
              <w:left w:w="70" w:type="dxa"/>
              <w:right w:w="70" w:type="dxa"/>
            </w:tcMar>
          </w:tcPr>
          <w:p>
            <w:pPr>
              <w:spacing w:after="20" w:before="0" w:line="240" w:lineRule="auto"/>
            </w:pPr>
            <w:r>
              <w:rPr>
                <w:b w:val="0"/>
                <w:sz w:val="17"/>
              </w:rPr>
              <w:t>Identificar y calificar; preparar la cotización; resolver decisiones; presentar y registrar la respuesta. D01 integra D02-D05.</w:t>
            </w:r>
          </w:p>
        </w:tc>
      </w:tr>
      <w:tr>
        <w:trPr>
          <w:cantSplit/>
        </w:trPr>
        <w:tc>
          <w:tcPr>
            <w:tcW w:type="dxa" w:w="1928"/>
            <w:tcMar>
              <w:top w:w="35" w:type="dxa"/>
              <w:bottom w:w="35" w:type="dxa"/>
              <w:left w:w="70" w:type="dxa"/>
              <w:right w:w="70" w:type="dxa"/>
            </w:tcMar>
          </w:tcPr>
          <w:p>
            <w:pPr>
              <w:spacing w:after="20" w:before="0" w:line="240" w:lineRule="auto"/>
            </w:pPr>
            <w:r>
              <w:rPr>
                <w:b w:val="0"/>
                <w:sz w:val="17"/>
              </w:rPr>
              <w:t>Salidas</w:t>
            </w:r>
          </w:p>
        </w:tc>
        <w:tc>
          <w:tcPr>
            <w:tcW w:type="dxa" w:w="7909"/>
            <w:tcMar>
              <w:top w:w="35" w:type="dxa"/>
              <w:bottom w:w="35" w:type="dxa"/>
              <w:left w:w="70" w:type="dxa"/>
              <w:right w:w="70" w:type="dxa"/>
            </w:tcMar>
          </w:tcPr>
          <w:p>
            <w:pPr>
              <w:spacing w:after="20" w:before="0" w:line="240" w:lineRule="auto"/>
            </w:pPr>
            <w:r>
              <w:rPr>
                <w:b w:val="0"/>
                <w:sz w:val="17"/>
              </w:rPr>
              <w:t>Cotización aceptada, recotización, seguimiento pendiente o cierre con motivo. No hay pedido operativo en este incremento.</w:t>
            </w:r>
          </w:p>
        </w:tc>
      </w:tr>
      <w:tr>
        <w:trPr>
          <w:cantSplit/>
        </w:trPr>
        <w:tc>
          <w:tcPr>
            <w:tcW w:type="dxa" w:w="1928"/>
            <w:tcMar>
              <w:top w:w="35" w:type="dxa"/>
              <w:bottom w:w="35" w:type="dxa"/>
              <w:left w:w="70" w:type="dxa"/>
              <w:right w:w="70" w:type="dxa"/>
            </w:tcMar>
          </w:tcPr>
          <w:p>
            <w:pPr>
              <w:spacing w:after="20" w:before="0" w:line="240" w:lineRule="auto"/>
            </w:pPr>
            <w:r>
              <w:rPr>
                <w:b w:val="0"/>
                <w:sz w:val="17"/>
              </w:rPr>
              <w:t>Destinatarios</w:t>
            </w:r>
          </w:p>
        </w:tc>
        <w:tc>
          <w:tcPr>
            <w:tcW w:type="dxa" w:w="7909"/>
            <w:tcMar>
              <w:top w:w="35" w:type="dxa"/>
              <w:bottom w:w="35" w:type="dxa"/>
              <w:left w:w="70" w:type="dxa"/>
              <w:right w:w="70" w:type="dxa"/>
            </w:tcMar>
          </w:tcPr>
          <w:p>
            <w:pPr>
              <w:spacing w:after="20" w:before="0" w:line="240" w:lineRule="auto"/>
            </w:pPr>
            <w:r>
              <w:rPr>
                <w:b w:val="0"/>
                <w:sz w:val="17"/>
              </w:rPr>
              <w:t>Cliente, que recibe condiciones claras, y vendedor, que conserva el contexto para la siguiente actividad.</w:t>
            </w:r>
          </w:p>
        </w:tc>
      </w:tr>
    </w:tbl>
    <w:p>
      <w:pPr>
        <w:pStyle w:val="Heading1"/>
        <w:pageBreakBefore/>
      </w:pPr>
      <w:r>
        <w:t>2 Escenario CRM previo al pedido</w:t>
      </w:r>
    </w:p>
    <w:p>
      <w:r>
        <w:t>Caso didáctico. Una persona visita la tienda y solicita cinco autoradios. Para conservar el segmento de consumidor final, suponemos uso en cinco vehículos familiares, sin reventa; el vendedor debe confirmar ese uso y la compatibilidad. La fuente es visita espontánea y no se atribuye una campaña ejecutada. Tras buscar la cuenta y el contacto, el vendedor registra el lead y lo convierte en oportunidad cuando hay necesidad identificada, capacidad de atención y siguiente acción definida.</w:t>
      </w:r>
    </w:p>
    <w:tbl>
      <w:tblPr>
        <w:tblW w:type="auto" w:w="0"/>
        <w:jc w:val="center"/>
        <w:tblLayout w:type="fixed"/>
        <w:tblLook w:firstColumn="1" w:firstRow="1" w:lastColumn="0" w:lastRow="0" w:noHBand="0" w:noVBand="1" w:val="04A0"/>
      </w:tblPr>
      <w:tblGrid>
        <w:gridCol w:w="1757"/>
        <w:gridCol w:w="8079"/>
      </w:tblGrid>
      <w:tr>
        <w:trPr>
          <w:cantSplit/>
          <w:tblHeader/>
        </w:trPr>
        <w:tc>
          <w:tcPr>
            <w:tcW w:type="dxa" w:w="1757"/>
            <w:vAlign w:val="center"/>
            <w:tcMar>
              <w:top w:w="35" w:type="dxa"/>
              <w:bottom w:w="35" w:type="dxa"/>
              <w:left w:w="70" w:type="dxa"/>
              <w:right w:w="70" w:type="dxa"/>
            </w:tcMar>
          </w:tcPr>
          <w:p>
            <w:pPr>
              <w:spacing w:after="20" w:before="0" w:line="240" w:lineRule="auto"/>
            </w:pPr>
            <w:r>
              <w:rPr>
                <w:b/>
                <w:sz w:val="17"/>
              </w:rPr>
              <w:t>Objeto / atributo</w:t>
            </w:r>
          </w:p>
        </w:tc>
        <w:tc>
          <w:tcPr>
            <w:tcW w:type="dxa" w:w="8079"/>
            <w:vAlign w:val="center"/>
            <w:tcMar>
              <w:top w:w="35" w:type="dxa"/>
              <w:bottom w:w="35" w:type="dxa"/>
              <w:left w:w="70" w:type="dxa"/>
              <w:right w:w="70" w:type="dxa"/>
            </w:tcMar>
          </w:tcPr>
          <w:p>
            <w:pPr>
              <w:spacing w:after="20" w:before="0" w:line="240" w:lineRule="auto"/>
            </w:pPr>
            <w:r>
              <w:rPr>
                <w:b/>
                <w:sz w:val="17"/>
              </w:rPr>
              <w:t>Contenido propuesto y control comercial</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Cuenta</w:t>
            </w:r>
          </w:p>
        </w:tc>
        <w:tc>
          <w:tcPr>
            <w:tcW w:type="dxa" w:w="8079"/>
            <w:vAlign w:val="center"/>
            <w:tcMar>
              <w:top w:w="35" w:type="dxa"/>
              <w:bottom w:w="35" w:type="dxa"/>
              <w:left w:w="70" w:type="dxa"/>
              <w:right w:w="70" w:type="dxa"/>
            </w:tcMar>
          </w:tcPr>
          <w:p>
            <w:pPr>
              <w:spacing w:after="20" w:before="0" w:line="240" w:lineRule="auto"/>
            </w:pPr>
            <w:r>
              <w:rPr>
                <w:b w:val="0"/>
                <w:sz w:val="17"/>
              </w:rPr>
              <w:t>Ficha sintética CLI-DEMO-001, consumidor final. Buscar antes de crear; vincular una ficha verificada si ya existe y actualizar solo lo necesario.</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Contacto</w:t>
            </w:r>
          </w:p>
        </w:tc>
        <w:tc>
          <w:tcPr>
            <w:tcW w:type="dxa" w:w="8079"/>
            <w:vAlign w:val="center"/>
            <w:tcMar>
              <w:top w:w="35" w:type="dxa"/>
              <w:bottom w:w="35" w:type="dxa"/>
              <w:left w:w="70" w:type="dxa"/>
              <w:right w:w="70" w:type="dxa"/>
            </w:tcMar>
          </w:tcPr>
          <w:p>
            <w:pPr>
              <w:spacing w:after="20" w:before="0" w:line="240" w:lineRule="auto"/>
            </w:pPr>
            <w:r>
              <w:rPr>
                <w:b w:val="0"/>
                <w:sz w:val="17"/>
              </w:rPr>
              <w:t>Persona que realiza la consulta, vinculada a la cuenta. Datos mínimos autorizados y medio preferido para seguimiento; el caso no publica identificadores reales.</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Canal / fuente / campaña</w:t>
            </w:r>
          </w:p>
        </w:tc>
        <w:tc>
          <w:tcPr>
            <w:tcW w:type="dxa" w:w="8079"/>
            <w:vAlign w:val="center"/>
            <w:tcMar>
              <w:top w:w="35" w:type="dxa"/>
              <w:bottom w:w="35" w:type="dxa"/>
              <w:left w:w="70" w:type="dxa"/>
              <w:right w:w="70" w:type="dxa"/>
            </w:tcMar>
          </w:tcPr>
          <w:p>
            <w:pPr>
              <w:spacing w:after="20" w:before="0" w:line="240" w:lineRule="auto"/>
            </w:pPr>
            <w:r>
              <w:rPr>
                <w:b w:val="0"/>
                <w:sz w:val="17"/>
              </w:rPr>
              <w:t>Canal físico; fuente visita espontánea; campaña = no aplica, salvo campaña verificable.</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Interacción / actividad</w:t>
            </w:r>
          </w:p>
        </w:tc>
        <w:tc>
          <w:tcPr>
            <w:tcW w:type="dxa" w:w="8079"/>
            <w:vAlign w:val="center"/>
            <w:tcMar>
              <w:top w:w="35" w:type="dxa"/>
              <w:bottom w:w="35" w:type="dxa"/>
              <w:left w:w="70" w:type="dxa"/>
              <w:right w:w="70" w:type="dxa"/>
            </w:tcMar>
          </w:tcPr>
          <w:p>
            <w:pPr>
              <w:spacing w:after="20" w:before="0" w:line="240" w:lineRule="auto"/>
            </w:pPr>
            <w:r>
              <w:rPr>
                <w:b w:val="0"/>
                <w:sz w:val="17"/>
              </w:rPr>
              <w:t>Consulta presencial del 16/10/2026 a las 09:45, hora Perú. Vendedor responsable; actividad inicial: presentar la versión de oferta y registrar la respuesta.</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Lead</w:t>
            </w:r>
          </w:p>
        </w:tc>
        <w:tc>
          <w:tcPr>
            <w:tcW w:type="dxa" w:w="8079"/>
            <w:vAlign w:val="center"/>
            <w:tcMar>
              <w:top w:w="35" w:type="dxa"/>
              <w:bottom w:w="35" w:type="dxa"/>
              <w:left w:w="70" w:type="dxa"/>
              <w:right w:w="70" w:type="dxa"/>
            </w:tcMar>
          </w:tcPr>
          <w:p>
            <w:pPr>
              <w:spacing w:after="20" w:before="0" w:line="240" w:lineRule="auto"/>
            </w:pPr>
            <w:r>
              <w:rPr>
                <w:b w:val="0"/>
                <w:sz w:val="17"/>
              </w:rPr>
              <w:t>Interés por cinco autoradios; precisar uso final y compatibilidad. Datos insuficientes mantienen el lead pendiente con una siguiente actividad.</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Oportunidad</w:t>
            </w:r>
          </w:p>
        </w:tc>
        <w:tc>
          <w:tcPr>
            <w:tcW w:type="dxa" w:w="8079"/>
            <w:vAlign w:val="center"/>
            <w:tcMar>
              <w:top w:w="35" w:type="dxa"/>
              <w:bottom w:w="35" w:type="dxa"/>
              <w:left w:w="70" w:type="dxa"/>
              <w:right w:w="70" w:type="dxa"/>
            </w:tcMar>
          </w:tcPr>
          <w:p>
            <w:pPr>
              <w:spacing w:after="20" w:before="0" w:line="240" w:lineRule="auto"/>
            </w:pPr>
            <w:r>
              <w:rPr>
                <w:b w:val="0"/>
                <w:sz w:val="17"/>
              </w:rPr>
              <w:t>Valor inicial S/ 2,000 antes de descuento; etapa cotización. Probabilidad 50 % como juicio didáctico inicial: necesidad calificada, pero sin aceptación ni decisión excepcional. No procede de un modelo estadístico.</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Competidores</w:t>
            </w:r>
          </w:p>
        </w:tc>
        <w:tc>
          <w:tcPr>
            <w:tcW w:type="dxa" w:w="8079"/>
            <w:vAlign w:val="center"/>
            <w:tcMar>
              <w:top w:w="35" w:type="dxa"/>
              <w:bottom w:w="35" w:type="dxa"/>
              <w:left w:w="70" w:type="dxa"/>
              <w:right w:w="70" w:type="dxa"/>
            </w:tcMar>
          </w:tcPr>
          <w:p>
            <w:pPr>
              <w:spacing w:after="20" w:before="0" w:line="240" w:lineRule="auto"/>
            </w:pPr>
            <w:r>
              <w:rPr>
                <w:b w:val="0"/>
                <w:sz w:val="17"/>
              </w:rPr>
              <w:t>Alternativas comerciales no identificadas. El vendedor pregunta si compara con otra oferta; no se inventan nombres.</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Cotización</w:t>
            </w:r>
          </w:p>
        </w:tc>
        <w:tc>
          <w:tcPr>
            <w:tcW w:type="dxa" w:w="8079"/>
            <w:vAlign w:val="center"/>
            <w:tcMar>
              <w:top w:w="35" w:type="dxa"/>
              <w:bottom w:w="35" w:type="dxa"/>
              <w:left w:w="70" w:type="dxa"/>
              <w:right w:w="70" w:type="dxa"/>
            </w:tcMar>
          </w:tcPr>
          <w:p>
            <w:pPr>
              <w:spacing w:after="20" w:before="0" w:line="240" w:lineRule="auto"/>
            </w:pPr>
            <w:r>
              <w:rPr>
                <w:b w:val="0"/>
                <w:sz w:val="17"/>
              </w:rPr>
              <w:t>COT-DEMO-001 v1, emitida el 16/10/2026 a las 10:00. Cinco unidades a S/ 400 de precio final académico: S/ 2,000; descuento del 5 %: S/ 100; total: S/ 1,900.</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Vigencia</w:t>
            </w:r>
          </w:p>
        </w:tc>
        <w:tc>
          <w:tcPr>
            <w:tcW w:type="dxa" w:w="8079"/>
            <w:vAlign w:val="center"/>
            <w:tcMar>
              <w:top w:w="35" w:type="dxa"/>
              <w:bottom w:w="35" w:type="dxa"/>
              <w:left w:w="70" w:type="dxa"/>
              <w:right w:w="70" w:type="dxa"/>
            </w:tcMar>
          </w:tcPr>
          <w:p>
            <w:pPr>
              <w:spacing w:after="20" w:before="0" w:line="240" w:lineRule="auto"/>
            </w:pPr>
            <w:r>
              <w:rPr>
                <w:b w:val="0"/>
                <w:sz w:val="17"/>
              </w:rPr>
              <w:t>Vigencia académica: hasta el 16/10/2026 a las 18:00, hora Perú, para esa versión. Cambios de precio, cantidad, producto o condiciones exigen nueva versión y nueva respuesta.</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Direcciones</w:t>
            </w:r>
          </w:p>
        </w:tc>
        <w:tc>
          <w:tcPr>
            <w:tcW w:type="dxa" w:w="8079"/>
            <w:vAlign w:val="center"/>
            <w:tcMar>
              <w:top w:w="35" w:type="dxa"/>
              <w:bottom w:w="35" w:type="dxa"/>
              <w:left w:w="70" w:type="dxa"/>
              <w:right w:w="70" w:type="dxa"/>
            </w:tcMar>
          </w:tcPr>
          <w:p>
            <w:pPr>
              <w:spacing w:after="20" w:before="0" w:line="240" w:lineRule="auto"/>
            </w:pPr>
            <w:r>
              <w:rPr>
                <w:b w:val="0"/>
                <w:sz w:val="17"/>
              </w:rPr>
              <w:t>Retiro futuro en tienda previsto. No se solicita domicilio de entrega; una dirección de facturación se recoge solo si es pertinente y justificada.</w:t>
            </w:r>
          </w:p>
        </w:tc>
      </w:tr>
    </w:tbl>
    <w:p>
      <w:pPr/>
      <w:r>
        <w:t>Supuestos del ejemplo. A las 09:50 se simula una consulta que muestra cinco unidades disponibles, sin reserva. Para v1 se supone que el dueño valida venta al contado por el importe íntegro, sin crédito ni fraccionamiento, con retiro posterior en tienda. Se plantea boleta de venta como documento esperado del caso de consumidor final, sujeto a confirmación de administración; su emisión queda fuera de PC2. Estos son supuestos académicos, no stock ni reglas comprobadas de MYS. Si faltan sustento o condición definida, D03 devuelve una oportunidad pendiente.</w:t>
      </w:r>
    </w:p>
    <w:p>
      <w:r>
        <w:t>Ante una solicitud del 10 %, el vendedor pide decisión al dueño. Si aprueba, la oferta v2 registra S/ 1,800 y vuelve a presentarse; si rechaza, se comunica la alternativa ordinaria de S/ 1,900 en una nueva versión. La espera mantiene la oportunidad abierta; pedir ajuste conduce a recotizar; solo el abandono definitivo se registra como pérdida. D05 comprueba versión, vigencia y condiciones antes de registrar la aceptación.</w:t>
      </w:r>
    </w:p>
    <w:p>
      <w:pPr>
        <w:pStyle w:val="Heading1"/>
        <w:pageBreakBefore/>
      </w:pPr>
      <w:r>
        <w:t>3 Decisiones y frontera conceptual CRM ERP</w:t>
      </w:r>
    </w:p>
    <w:tbl>
      <w:tblPr>
        <w:tblW w:type="auto" w:w="0"/>
        <w:jc w:val="center"/>
        <w:tblLayout w:type="fixed"/>
        <w:tblLook w:firstColumn="1" w:firstRow="1" w:lastColumn="0" w:lastRow="0" w:noHBand="0" w:noVBand="1" w:val="04A0"/>
      </w:tblPr>
      <w:tblGrid>
        <w:gridCol w:w="1984"/>
        <w:gridCol w:w="1928"/>
        <w:gridCol w:w="3628"/>
        <w:gridCol w:w="2296"/>
      </w:tblGrid>
      <w:tr>
        <w:trPr>
          <w:cantSplit/>
          <w:tblHeader/>
        </w:trPr>
        <w:tc>
          <w:tcPr>
            <w:tcW w:type="dxa" w:w="1984"/>
            <w:vAlign w:val="center"/>
            <w:tcMar>
              <w:top w:w="35" w:type="dxa"/>
              <w:bottom w:w="35" w:type="dxa"/>
              <w:left w:w="70" w:type="dxa"/>
              <w:right w:w="70" w:type="dxa"/>
            </w:tcMar>
          </w:tcPr>
          <w:p>
            <w:pPr>
              <w:spacing w:after="20" w:before="0" w:line="240" w:lineRule="auto"/>
            </w:pPr>
            <w:r>
              <w:rPr>
                <w:b/>
                <w:sz w:val="17"/>
              </w:rPr>
              <w:t>Decisión</w:t>
            </w:r>
          </w:p>
        </w:tc>
        <w:tc>
          <w:tcPr>
            <w:tcW w:type="dxa" w:w="1928"/>
            <w:vAlign w:val="center"/>
            <w:tcMar>
              <w:top w:w="35" w:type="dxa"/>
              <w:bottom w:w="35" w:type="dxa"/>
              <w:left w:w="70" w:type="dxa"/>
              <w:right w:w="70" w:type="dxa"/>
            </w:tcMar>
          </w:tcPr>
          <w:p>
            <w:pPr>
              <w:spacing w:after="20" w:before="0" w:line="240" w:lineRule="auto"/>
            </w:pPr>
            <w:r>
              <w:rPr>
                <w:b/>
                <w:sz w:val="17"/>
              </w:rPr>
              <w:t>Responsable principal</w:t>
            </w:r>
          </w:p>
        </w:tc>
        <w:tc>
          <w:tcPr>
            <w:tcW w:type="dxa" w:w="3628"/>
            <w:vAlign w:val="center"/>
            <w:tcMar>
              <w:top w:w="35" w:type="dxa"/>
              <w:bottom w:w="35" w:type="dxa"/>
              <w:left w:w="70" w:type="dxa"/>
              <w:right w:w="70" w:type="dxa"/>
            </w:tcMar>
          </w:tcPr>
          <w:p>
            <w:pPr>
              <w:spacing w:after="20" w:before="0" w:line="240" w:lineRule="auto"/>
            </w:pPr>
            <w:r>
              <w:rPr>
                <w:b/>
                <w:sz w:val="17"/>
              </w:rPr>
              <w:t>Evidencia esperada</w:t>
            </w:r>
          </w:p>
        </w:tc>
        <w:tc>
          <w:tcPr>
            <w:tcW w:type="dxa" w:w="2296"/>
            <w:vAlign w:val="center"/>
            <w:tcMar>
              <w:top w:w="35" w:type="dxa"/>
              <w:bottom w:w="35" w:type="dxa"/>
              <w:left w:w="70" w:type="dxa"/>
              <w:right w:w="70" w:type="dxa"/>
            </w:tcMar>
          </w:tcPr>
          <w:p>
            <w:pPr>
              <w:spacing w:after="20" w:before="0" w:line="240" w:lineRule="auto"/>
            </w:pPr>
            <w:r>
              <w:rPr>
                <w:b/>
                <w:sz w:val="17"/>
              </w:rPr>
              <w:t>Impacto y límite</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Descuento ≤ umbral supuesto (5 %)</w:t>
            </w:r>
          </w:p>
        </w:tc>
        <w:tc>
          <w:tcPr>
            <w:tcW w:type="dxa" w:w="1928"/>
            <w:vAlign w:val="center"/>
            <w:tcMar>
              <w:top w:w="35" w:type="dxa"/>
              <w:bottom w:w="35" w:type="dxa"/>
              <w:left w:w="70" w:type="dxa"/>
              <w:right w:w="70" w:type="dxa"/>
            </w:tcMar>
          </w:tcPr>
          <w:p>
            <w:pPr>
              <w:spacing w:after="20" w:before="0" w:line="240" w:lineRule="auto"/>
            </w:pPr>
            <w:r>
              <w:rPr>
                <w:b w:val="0"/>
                <w:sz w:val="17"/>
              </w:rPr>
              <w:t>Vendedor</w:t>
            </w:r>
          </w:p>
        </w:tc>
        <w:tc>
          <w:tcPr>
            <w:tcW w:type="dxa" w:w="3628"/>
            <w:vAlign w:val="center"/>
            <w:tcMar>
              <w:top w:w="35" w:type="dxa"/>
              <w:bottom w:w="35" w:type="dxa"/>
              <w:left w:w="70" w:type="dxa"/>
              <w:right w:w="70" w:type="dxa"/>
            </w:tcMar>
          </w:tcPr>
          <w:p>
            <w:pPr>
              <w:spacing w:after="20" w:before="0" w:line="240" w:lineRule="auto"/>
            </w:pPr>
            <w:r>
              <w:rPr>
                <w:b w:val="0"/>
                <w:sz w:val="17"/>
              </w:rPr>
              <w:t>Lista de precios autorizada y versión de oferta</w:t>
            </w:r>
          </w:p>
        </w:tc>
        <w:tc>
          <w:tcPr>
            <w:tcW w:type="dxa" w:w="2296"/>
            <w:vAlign w:val="center"/>
            <w:tcMar>
              <w:top w:w="35" w:type="dxa"/>
              <w:bottom w:w="35" w:type="dxa"/>
              <w:left w:w="70" w:type="dxa"/>
              <w:right w:w="70" w:type="dxa"/>
            </w:tcMar>
          </w:tcPr>
          <w:p>
            <w:pPr>
              <w:spacing w:after="20" w:before="0" w:line="240" w:lineRule="auto"/>
            </w:pPr>
            <w:r>
              <w:rPr>
                <w:b w:val="0"/>
                <w:sz w:val="17"/>
              </w:rPr>
              <w:t>Cotización consistente. Umbral SOLO didáctico.</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Descuento por encima del umbral</w:t>
            </w:r>
          </w:p>
        </w:tc>
        <w:tc>
          <w:tcPr>
            <w:tcW w:type="dxa" w:w="1928"/>
            <w:vAlign w:val="center"/>
            <w:tcMar>
              <w:top w:w="35" w:type="dxa"/>
              <w:bottom w:w="35" w:type="dxa"/>
              <w:left w:w="70" w:type="dxa"/>
              <w:right w:w="70" w:type="dxa"/>
            </w:tcMar>
          </w:tcPr>
          <w:p>
            <w:pPr>
              <w:spacing w:after="20" w:before="0" w:line="240" w:lineRule="auto"/>
            </w:pPr>
            <w:r>
              <w:rPr>
                <w:b w:val="0"/>
                <w:sz w:val="17"/>
              </w:rPr>
              <w:t>Dueño de MYS</w:t>
            </w:r>
          </w:p>
        </w:tc>
        <w:tc>
          <w:tcPr>
            <w:tcW w:type="dxa" w:w="3628"/>
            <w:vAlign w:val="center"/>
            <w:tcMar>
              <w:top w:w="35" w:type="dxa"/>
              <w:bottom w:w="35" w:type="dxa"/>
              <w:left w:w="70" w:type="dxa"/>
              <w:right w:w="70" w:type="dxa"/>
            </w:tcMar>
          </w:tcPr>
          <w:p>
            <w:pPr>
              <w:spacing w:after="20" w:before="0" w:line="240" w:lineRule="auto"/>
            </w:pPr>
            <w:r>
              <w:rPr>
                <w:b w:val="0"/>
                <w:sz w:val="17"/>
              </w:rPr>
              <w:t>Autorización de esa oferta/versión y precio revisado</w:t>
            </w:r>
          </w:p>
        </w:tc>
        <w:tc>
          <w:tcPr>
            <w:tcW w:type="dxa" w:w="2296"/>
            <w:vAlign w:val="center"/>
            <w:tcMar>
              <w:top w:w="35" w:type="dxa"/>
              <w:bottom w:w="35" w:type="dxa"/>
              <w:left w:w="70" w:type="dxa"/>
              <w:right w:w="70" w:type="dxa"/>
            </w:tcMar>
          </w:tcPr>
          <w:p>
            <w:pPr>
              <w:spacing w:after="20" w:before="0" w:line="240" w:lineRule="auto"/>
            </w:pPr>
            <w:r>
              <w:rPr>
                <w:b w:val="0"/>
                <w:sz w:val="17"/>
              </w:rPr>
              <w:t>Sin autorización no se promete el descuento.</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Disponibilidad o promesa de fecha</w:t>
            </w:r>
          </w:p>
        </w:tc>
        <w:tc>
          <w:tcPr>
            <w:tcW w:type="dxa" w:w="1928"/>
            <w:vAlign w:val="center"/>
            <w:tcMar>
              <w:top w:w="35" w:type="dxa"/>
              <w:bottom w:w="35" w:type="dxa"/>
              <w:left w:w="70" w:type="dxa"/>
              <w:right w:w="70" w:type="dxa"/>
            </w:tcMar>
          </w:tcPr>
          <w:p>
            <w:pPr>
              <w:spacing w:after="20" w:before="0" w:line="240" w:lineRule="auto"/>
            </w:pPr>
            <w:r>
              <w:rPr>
                <w:b w:val="0"/>
                <w:sz w:val="17"/>
              </w:rPr>
              <w:t>Vendedor consulta inventario; dueño resuelve excepción</w:t>
            </w:r>
          </w:p>
        </w:tc>
        <w:tc>
          <w:tcPr>
            <w:tcW w:type="dxa" w:w="3628"/>
            <w:vAlign w:val="center"/>
            <w:tcMar>
              <w:top w:w="35" w:type="dxa"/>
              <w:bottom w:w="35" w:type="dxa"/>
              <w:left w:w="70" w:type="dxa"/>
              <w:right w:w="70" w:type="dxa"/>
            </w:tcMar>
          </w:tcPr>
          <w:p>
            <w:pPr>
              <w:spacing w:after="20" w:before="0" w:line="240" w:lineRule="auto"/>
            </w:pPr>
            <w:r>
              <w:rPr>
                <w:b w:val="0"/>
                <w:sz w:val="17"/>
              </w:rPr>
              <w:t>Consulta de disponibilidad fechada, fuente identificada y condición informada. En el ejemplo: observación sintética 16/10/2026 09:50; no reserva.</w:t>
            </w:r>
          </w:p>
        </w:tc>
        <w:tc>
          <w:tcPr>
            <w:tcW w:type="dxa" w:w="2296"/>
            <w:vAlign w:val="center"/>
            <w:tcMar>
              <w:top w:w="35" w:type="dxa"/>
              <w:bottom w:w="35" w:type="dxa"/>
              <w:left w:w="70" w:type="dxa"/>
              <w:right w:w="70" w:type="dxa"/>
            </w:tcMar>
          </w:tcPr>
          <w:p>
            <w:pPr>
              <w:spacing w:after="20" w:before="0" w:line="240" w:lineRule="auto"/>
            </w:pPr>
            <w:r>
              <w:rPr>
                <w:b w:val="0"/>
                <w:sz w:val="17"/>
              </w:rPr>
              <w:t>No se promete stock ni una fecha sin confirmación.</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Condición de facturación</w:t>
            </w:r>
          </w:p>
        </w:tc>
        <w:tc>
          <w:tcPr>
            <w:tcW w:type="dxa" w:w="1928"/>
            <w:vAlign w:val="center"/>
            <w:tcMar>
              <w:top w:w="35" w:type="dxa"/>
              <w:bottom w:w="35" w:type="dxa"/>
              <w:left w:w="70" w:type="dxa"/>
              <w:right w:w="70" w:type="dxa"/>
            </w:tcMar>
          </w:tcPr>
          <w:p>
            <w:pPr>
              <w:spacing w:after="20" w:before="0" w:line="240" w:lineRule="auto"/>
            </w:pPr>
            <w:r>
              <w:rPr>
                <w:b w:val="0"/>
                <w:sz w:val="17"/>
              </w:rPr>
              <w:t>Dueño / administración</w:t>
            </w:r>
          </w:p>
        </w:tc>
        <w:tc>
          <w:tcPr>
            <w:tcW w:type="dxa" w:w="3628"/>
            <w:vAlign w:val="center"/>
            <w:tcMar>
              <w:top w:w="35" w:type="dxa"/>
              <w:bottom w:w="35" w:type="dxa"/>
              <w:left w:w="70" w:type="dxa"/>
              <w:right w:w="70" w:type="dxa"/>
            </w:tcMar>
          </w:tcPr>
          <w:p>
            <w:pPr>
              <w:spacing w:after="20" w:before="0" w:line="240" w:lineRule="auto"/>
            </w:pPr>
            <w:r>
              <w:rPr>
                <w:b w:val="0"/>
                <w:sz w:val="17"/>
              </w:rPr>
              <w:t>Versión y total aprobados; importe íntegro al contado, sin crédito. Boleta de venta como documento esperado, sujeto a confirmación de administración. Supuesto didáctico.</w:t>
            </w:r>
          </w:p>
        </w:tc>
        <w:tc>
          <w:tcPr>
            <w:tcW w:type="dxa" w:w="2296"/>
            <w:vAlign w:val="center"/>
            <w:tcMar>
              <w:top w:w="35" w:type="dxa"/>
              <w:bottom w:w="35" w:type="dxa"/>
              <w:left w:w="70" w:type="dxa"/>
              <w:right w:w="70" w:type="dxa"/>
            </w:tcMar>
          </w:tcPr>
          <w:p>
            <w:pPr>
              <w:spacing w:after="20" w:before="0" w:line="240" w:lineRule="auto"/>
            </w:pPr>
            <w:r>
              <w:rPr>
                <w:b w:val="0"/>
                <w:sz w:val="17"/>
              </w:rPr>
              <w:t>Se define la condición antes de presentar la oferta firme. No se cobra ni se emite comprobante dentro de PC2.</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Cliente acepta cotización</w:t>
            </w:r>
          </w:p>
        </w:tc>
        <w:tc>
          <w:tcPr>
            <w:tcW w:type="dxa" w:w="1928"/>
            <w:vAlign w:val="center"/>
            <w:tcMar>
              <w:top w:w="35" w:type="dxa"/>
              <w:bottom w:w="35" w:type="dxa"/>
              <w:left w:w="70" w:type="dxa"/>
              <w:right w:w="70" w:type="dxa"/>
            </w:tcMar>
          </w:tcPr>
          <w:p>
            <w:pPr>
              <w:spacing w:after="20" w:before="0" w:line="240" w:lineRule="auto"/>
            </w:pPr>
            <w:r>
              <w:rPr>
                <w:b w:val="0"/>
                <w:sz w:val="17"/>
              </w:rPr>
              <w:t>Cliente; vendedor registra</w:t>
            </w:r>
          </w:p>
        </w:tc>
        <w:tc>
          <w:tcPr>
            <w:tcW w:type="dxa" w:w="3628"/>
            <w:vAlign w:val="center"/>
            <w:tcMar>
              <w:top w:w="35" w:type="dxa"/>
              <w:bottom w:w="35" w:type="dxa"/>
              <w:left w:w="70" w:type="dxa"/>
              <w:right w:w="70" w:type="dxa"/>
            </w:tcMar>
          </w:tcPr>
          <w:p>
            <w:pPr>
              <w:spacing w:after="20" w:before="0" w:line="240" w:lineRule="auto"/>
            </w:pPr>
            <w:r>
              <w:rPr>
                <w:b w:val="0"/>
                <w:sz w:val="17"/>
              </w:rPr>
              <w:t>Registro de respuesta del cliente con versión, vigencia, producto, cantidad, total y condiciones coincidentes.</w:t>
            </w:r>
          </w:p>
        </w:tc>
        <w:tc>
          <w:tcPr>
            <w:tcW w:type="dxa" w:w="2296"/>
            <w:vAlign w:val="center"/>
            <w:tcMar>
              <w:top w:w="35" w:type="dxa"/>
              <w:bottom w:w="35" w:type="dxa"/>
              <w:left w:w="70" w:type="dxa"/>
              <w:right w:w="70" w:type="dxa"/>
            </w:tcMar>
          </w:tcPr>
          <w:p>
            <w:pPr>
              <w:spacing w:after="20" w:before="0" w:line="240" w:lineRule="auto"/>
            </w:pPr>
            <w:r>
              <w:rPr>
                <w:b w:val="0"/>
                <w:sz w:val="17"/>
              </w:rPr>
              <w:t>La aceptación no crea ni confirma pedido operativo.</w:t>
            </w:r>
          </w:p>
        </w:tc>
      </w:tr>
    </w:tbl>
    <w:p>
      <w:r>
        <w:t>CRM conserva cuenta, contacto, fuente, interacciones, necesidad, probabilidad, oportunidad, actividades y versiones de oferta. ERP gestionará el compromiso y la ejecución de pedido, inventario, facturación y entrega en otros incrementos. El corte evaluable es la diapositiva 12 de la sesión 6. La consulta comercial de disponibilidad no reserva unidades y una aceptación no equivale a confirmar un pedido. Responsable y evidencia se documentan en la matriz y en D03-D05.</w:t>
      </w:r>
    </w:p>
    <w:p>
      <w:pPr>
        <w:pStyle w:val="Heading2"/>
      </w:pPr>
      <w:r>
        <w:t>Requisitos conceptuales de apoyo</w:t>
      </w:r>
    </w:p>
    <w:tbl>
      <w:tblPr>
        <w:tblW w:type="auto" w:w="0"/>
        <w:jc w:val="center"/>
        <w:tblLayout w:type="fixed"/>
        <w:tblLook w:firstColumn="1" w:firstRow="1" w:lastColumn="0" w:lastRow="0" w:noHBand="0" w:noVBand="1" w:val="04A0"/>
      </w:tblPr>
      <w:tblGrid>
        <w:gridCol w:w="1077"/>
        <w:gridCol w:w="4507"/>
        <w:gridCol w:w="4252"/>
      </w:tblGrid>
      <w:tr>
        <w:trPr>
          <w:cantSplit/>
          <w:tblHeader/>
        </w:trPr>
        <w:tc>
          <w:tcPr>
            <w:tcW w:type="dxa" w:w="1077"/>
            <w:vAlign w:val="center"/>
            <w:tcMar>
              <w:top w:w="35" w:type="dxa"/>
              <w:bottom w:w="35" w:type="dxa"/>
              <w:left w:w="70" w:type="dxa"/>
              <w:right w:w="70" w:type="dxa"/>
            </w:tcMar>
          </w:tcPr>
          <w:p>
            <w:pPr>
              <w:spacing w:after="20" w:before="0" w:line="240" w:lineRule="auto"/>
            </w:pPr>
            <w:r>
              <w:rPr>
                <w:b/>
                <w:sz w:val="17"/>
              </w:rPr>
              <w:t>ID</w:t>
            </w:r>
          </w:p>
        </w:tc>
        <w:tc>
          <w:tcPr>
            <w:tcW w:type="dxa" w:w="4507"/>
            <w:vAlign w:val="center"/>
            <w:tcMar>
              <w:top w:w="35" w:type="dxa"/>
              <w:bottom w:w="35" w:type="dxa"/>
              <w:left w:w="70" w:type="dxa"/>
              <w:right w:w="70" w:type="dxa"/>
            </w:tcMar>
          </w:tcPr>
          <w:p>
            <w:pPr>
              <w:spacing w:after="20" w:before="0" w:line="240" w:lineRule="auto"/>
            </w:pPr>
            <w:r>
              <w:rPr>
                <w:b/>
                <w:sz w:val="17"/>
              </w:rPr>
              <w:t>Requisito dentro de PC2</w:t>
            </w:r>
          </w:p>
        </w:tc>
        <w:tc>
          <w:tcPr>
            <w:tcW w:type="dxa" w:w="4252"/>
            <w:vAlign w:val="center"/>
            <w:tcMar>
              <w:top w:w="35" w:type="dxa"/>
              <w:bottom w:w="35" w:type="dxa"/>
              <w:left w:w="70" w:type="dxa"/>
              <w:right w:w="70" w:type="dxa"/>
            </w:tcMar>
          </w:tcPr>
          <w:p>
            <w:pPr>
              <w:spacing w:after="20" w:before="0" w:line="240" w:lineRule="auto"/>
            </w:pPr>
            <w:r>
              <w:rPr>
                <w:b/>
                <w:sz w:val="17"/>
              </w:rPr>
              <w:t>Comprobación documental</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RF-01</w:t>
            </w:r>
          </w:p>
        </w:tc>
        <w:tc>
          <w:tcPr>
            <w:tcW w:type="dxa" w:w="4507"/>
            <w:vAlign w:val="center"/>
            <w:tcMar>
              <w:top w:w="35" w:type="dxa"/>
              <w:bottom w:w="35" w:type="dxa"/>
              <w:left w:w="70" w:type="dxa"/>
              <w:right w:w="70" w:type="dxa"/>
            </w:tcMar>
          </w:tcPr>
          <w:p>
            <w:pPr>
              <w:spacing w:after="20" w:before="0" w:line="240" w:lineRule="auto"/>
            </w:pPr>
            <w:r>
              <w:rPr>
                <w:b w:val="0"/>
                <w:sz w:val="17"/>
              </w:rPr>
              <w:t>Registrar y consultar cuenta/contacto sin duplicación.</w:t>
            </w:r>
          </w:p>
        </w:tc>
        <w:tc>
          <w:tcPr>
            <w:tcW w:type="dxa" w:w="4252"/>
            <w:vAlign w:val="center"/>
            <w:tcMar>
              <w:top w:w="35" w:type="dxa"/>
              <w:bottom w:w="35" w:type="dxa"/>
              <w:left w:w="70" w:type="dxa"/>
              <w:right w:w="70" w:type="dxa"/>
            </w:tcMar>
          </w:tcPr>
          <w:p>
            <w:pPr>
              <w:spacing w:after="20" w:before="0" w:line="240" w:lineRule="auto"/>
            </w:pPr>
            <w:r>
              <w:rPr>
                <w:b w:val="0"/>
                <w:sz w:val="17"/>
              </w:rPr>
              <w:t>D02: búsqueda, aclaración y vinculación de ficha.</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RF-02</w:t>
            </w:r>
          </w:p>
        </w:tc>
        <w:tc>
          <w:tcPr>
            <w:tcW w:type="dxa" w:w="4507"/>
            <w:vAlign w:val="center"/>
            <w:tcMar>
              <w:top w:w="35" w:type="dxa"/>
              <w:bottom w:w="35" w:type="dxa"/>
              <w:left w:w="70" w:type="dxa"/>
              <w:right w:w="70" w:type="dxa"/>
            </w:tcMar>
          </w:tcPr>
          <w:p>
            <w:pPr>
              <w:spacing w:after="20" w:before="0" w:line="240" w:lineRule="auto"/>
            </w:pPr>
            <w:r>
              <w:rPr>
                <w:b w:val="0"/>
                <w:sz w:val="17"/>
              </w:rPr>
              <w:t>Registrar interacción, canal físico, fuente y siguiente actividad.</w:t>
            </w:r>
          </w:p>
        </w:tc>
        <w:tc>
          <w:tcPr>
            <w:tcW w:type="dxa" w:w="4252"/>
            <w:vAlign w:val="center"/>
            <w:tcMar>
              <w:top w:w="35" w:type="dxa"/>
              <w:bottom w:w="35" w:type="dxa"/>
              <w:left w:w="70" w:type="dxa"/>
              <w:right w:w="70" w:type="dxa"/>
            </w:tcMar>
          </w:tcPr>
          <w:p>
            <w:pPr>
              <w:spacing w:after="20" w:before="0" w:line="240" w:lineRule="auto"/>
            </w:pPr>
            <w:r>
              <w:rPr>
                <w:b w:val="0"/>
                <w:sz w:val="17"/>
              </w:rPr>
              <w:t>D02 y D05: origen, interacción y siguiente actividad.</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RF-03</w:t>
            </w:r>
          </w:p>
        </w:tc>
        <w:tc>
          <w:tcPr>
            <w:tcW w:type="dxa" w:w="4507"/>
            <w:vAlign w:val="center"/>
            <w:tcMar>
              <w:top w:w="35" w:type="dxa"/>
              <w:bottom w:w="35" w:type="dxa"/>
              <w:left w:w="70" w:type="dxa"/>
              <w:right w:w="70" w:type="dxa"/>
            </w:tcMar>
          </w:tcPr>
          <w:p>
            <w:pPr>
              <w:spacing w:after="20" w:before="0" w:line="240" w:lineRule="auto"/>
            </w:pPr>
            <w:r>
              <w:rPr>
                <w:b w:val="0"/>
                <w:sz w:val="17"/>
              </w:rPr>
              <w:t>Calificar lead y oportunidad con necesidad, probabilidad y competencia conocida/no identificada.</w:t>
            </w:r>
          </w:p>
        </w:tc>
        <w:tc>
          <w:tcPr>
            <w:tcW w:type="dxa" w:w="4252"/>
            <w:vAlign w:val="center"/>
            <w:tcMar>
              <w:top w:w="35" w:type="dxa"/>
              <w:bottom w:w="35" w:type="dxa"/>
              <w:left w:w="70" w:type="dxa"/>
              <w:right w:w="70" w:type="dxa"/>
            </w:tcMar>
          </w:tcPr>
          <w:p>
            <w:pPr>
              <w:spacing w:after="20" w:before="0" w:line="240" w:lineRule="auto"/>
            </w:pPr>
            <w:r>
              <w:rPr>
                <w:b w:val="0"/>
                <w:sz w:val="17"/>
              </w:rPr>
              <w:t>D02: calificación; contexto y estimación didáctica de sección 2.</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RF-04</w:t>
            </w:r>
          </w:p>
        </w:tc>
        <w:tc>
          <w:tcPr>
            <w:tcW w:type="dxa" w:w="4507"/>
            <w:vAlign w:val="center"/>
            <w:tcMar>
              <w:top w:w="35" w:type="dxa"/>
              <w:bottom w:w="35" w:type="dxa"/>
              <w:left w:w="70" w:type="dxa"/>
              <w:right w:w="70" w:type="dxa"/>
            </w:tcMar>
          </w:tcPr>
          <w:p>
            <w:pPr>
              <w:spacing w:after="20" w:before="0" w:line="240" w:lineRule="auto"/>
            </w:pPr>
            <w:r>
              <w:rPr>
                <w:b w:val="0"/>
                <w:sz w:val="17"/>
              </w:rPr>
              <w:t>Versionar cotización y reflejar precio, cantidad, descuento y vigencia.</w:t>
            </w:r>
          </w:p>
        </w:tc>
        <w:tc>
          <w:tcPr>
            <w:tcW w:type="dxa" w:w="4252"/>
            <w:vAlign w:val="center"/>
            <w:tcMar>
              <w:top w:w="35" w:type="dxa"/>
              <w:bottom w:w="35" w:type="dxa"/>
              <w:left w:w="70" w:type="dxa"/>
              <w:right w:w="70" w:type="dxa"/>
            </w:tcMar>
          </w:tcPr>
          <w:p>
            <w:pPr>
              <w:spacing w:after="20" w:before="0" w:line="240" w:lineRule="auto"/>
            </w:pPr>
            <w:r>
              <w:rPr>
                <w:b w:val="0"/>
                <w:sz w:val="17"/>
              </w:rPr>
              <w:t>D03-D05: versión, total, vigencia y aceptación coincidente.</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RF-05</w:t>
            </w:r>
          </w:p>
        </w:tc>
        <w:tc>
          <w:tcPr>
            <w:tcW w:type="dxa" w:w="4507"/>
            <w:vAlign w:val="center"/>
            <w:tcMar>
              <w:top w:w="35" w:type="dxa"/>
              <w:bottom w:w="35" w:type="dxa"/>
              <w:left w:w="70" w:type="dxa"/>
              <w:right w:w="70" w:type="dxa"/>
            </w:tcMar>
          </w:tcPr>
          <w:p>
            <w:pPr>
              <w:spacing w:after="20" w:before="0" w:line="240" w:lineRule="auto"/>
            </w:pPr>
            <w:r>
              <w:rPr>
                <w:b w:val="0"/>
                <w:sz w:val="17"/>
              </w:rPr>
              <w:t>Solicitar decisión humana del dueño para excepciones comerciales.</w:t>
            </w:r>
          </w:p>
        </w:tc>
        <w:tc>
          <w:tcPr>
            <w:tcW w:type="dxa" w:w="4252"/>
            <w:vAlign w:val="center"/>
            <w:tcMar>
              <w:top w:w="35" w:type="dxa"/>
              <w:bottom w:w="35" w:type="dxa"/>
              <w:left w:w="70" w:type="dxa"/>
              <w:right w:w="70" w:type="dxa"/>
            </w:tcMar>
          </w:tcPr>
          <w:p>
            <w:pPr>
              <w:spacing w:after="20" w:before="0" w:line="240" w:lineRule="auto"/>
            </w:pPr>
            <w:r>
              <w:rPr>
                <w:b w:val="0"/>
                <w:sz w:val="17"/>
              </w:rPr>
              <w:t>D04: decisión independiente del dueño y registro de resultado.</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RNF-01</w:t>
            </w:r>
          </w:p>
        </w:tc>
        <w:tc>
          <w:tcPr>
            <w:tcW w:type="dxa" w:w="4507"/>
            <w:vAlign w:val="center"/>
            <w:tcMar>
              <w:top w:w="35" w:type="dxa"/>
              <w:bottom w:w="35" w:type="dxa"/>
              <w:left w:w="70" w:type="dxa"/>
              <w:right w:w="70" w:type="dxa"/>
            </w:tcMar>
          </w:tcPr>
          <w:p>
            <w:pPr>
              <w:spacing w:after="20" w:before="0" w:line="240" w:lineRule="auto"/>
            </w:pPr>
            <w:r>
              <w:rPr>
                <w:b w:val="0"/>
                <w:sz w:val="17"/>
              </w:rPr>
              <w:t>Privacidad y minimización de datos.</w:t>
            </w:r>
          </w:p>
        </w:tc>
        <w:tc>
          <w:tcPr>
            <w:tcW w:type="dxa" w:w="4252"/>
            <w:vAlign w:val="center"/>
            <w:tcMar>
              <w:top w:w="35" w:type="dxa"/>
              <w:bottom w:w="35" w:type="dxa"/>
              <w:left w:w="70" w:type="dxa"/>
              <w:right w:w="70" w:type="dxa"/>
            </w:tcMar>
          </w:tcPr>
          <w:p>
            <w:pPr>
              <w:spacing w:after="20" w:before="0" w:line="240" w:lineRule="auto"/>
            </w:pPr>
            <w:r>
              <w:rPr>
                <w:b w:val="0"/>
                <w:sz w:val="17"/>
              </w:rPr>
              <w:t>No publicar identificadores de clientes reales.</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RNF-02</w:t>
            </w:r>
          </w:p>
        </w:tc>
        <w:tc>
          <w:tcPr>
            <w:tcW w:type="dxa" w:w="4507"/>
            <w:vAlign w:val="center"/>
            <w:tcMar>
              <w:top w:w="35" w:type="dxa"/>
              <w:bottom w:w="35" w:type="dxa"/>
              <w:left w:w="70" w:type="dxa"/>
              <w:right w:w="70" w:type="dxa"/>
            </w:tcMar>
          </w:tcPr>
          <w:p>
            <w:pPr>
              <w:spacing w:after="20" w:before="0" w:line="240" w:lineRule="auto"/>
            </w:pPr>
            <w:r>
              <w:rPr>
                <w:b w:val="0"/>
                <w:sz w:val="17"/>
              </w:rPr>
              <w:t>Claridad/trazabilidad comercial.</w:t>
            </w:r>
          </w:p>
        </w:tc>
        <w:tc>
          <w:tcPr>
            <w:tcW w:type="dxa" w:w="4252"/>
            <w:vAlign w:val="center"/>
            <w:tcMar>
              <w:top w:w="35" w:type="dxa"/>
              <w:bottom w:w="35" w:type="dxa"/>
              <w:left w:w="70" w:type="dxa"/>
              <w:right w:w="70" w:type="dxa"/>
            </w:tcMar>
          </w:tcPr>
          <w:p>
            <w:pPr>
              <w:spacing w:after="20" w:before="0" w:line="240" w:lineRule="auto"/>
            </w:pPr>
            <w:r>
              <w:rPr>
                <w:b w:val="0"/>
                <w:sz w:val="17"/>
              </w:rPr>
              <w:t>Cada cotización distingue fuente, versión, responsable y decisión.</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RNF-03</w:t>
            </w:r>
          </w:p>
        </w:tc>
        <w:tc>
          <w:tcPr>
            <w:tcW w:type="dxa" w:w="4507"/>
            <w:vAlign w:val="center"/>
            <w:tcMar>
              <w:top w:w="35" w:type="dxa"/>
              <w:bottom w:w="35" w:type="dxa"/>
              <w:left w:w="70" w:type="dxa"/>
              <w:right w:w="70" w:type="dxa"/>
            </w:tcMar>
          </w:tcPr>
          <w:p>
            <w:pPr>
              <w:spacing w:after="20" w:before="0" w:line="240" w:lineRule="auto"/>
            </w:pPr>
            <w:r>
              <w:rPr>
                <w:b w:val="0"/>
                <w:sz w:val="17"/>
              </w:rPr>
              <w:t>Uso comprensible para vendedor de MYPE.</w:t>
            </w:r>
          </w:p>
        </w:tc>
        <w:tc>
          <w:tcPr>
            <w:tcW w:type="dxa" w:w="4252"/>
            <w:vAlign w:val="center"/>
            <w:tcMar>
              <w:top w:w="35" w:type="dxa"/>
              <w:bottom w:w="35" w:type="dxa"/>
              <w:left w:w="70" w:type="dxa"/>
              <w:right w:w="70" w:type="dxa"/>
            </w:tcMar>
          </w:tcPr>
          <w:p>
            <w:pPr>
              <w:spacing w:after="20" w:before="0" w:line="240" w:lineRule="auto"/>
            </w:pPr>
            <w:r>
              <w:rPr>
                <w:b w:val="0"/>
                <w:sz w:val="17"/>
              </w:rPr>
              <w:t>Reglas y actividades sin roles organizativos ficticios.</w:t>
            </w:r>
          </w:p>
        </w:tc>
      </w:tr>
    </w:tbl>
    <w:p>
      <w:pPr>
        <w:pStyle w:val="Heading1"/>
        <w:pageBreakBefore/>
      </w:pPr>
      <w:r>
        <w:t>4 Caso normal y excepción prioritaria</w:t>
      </w:r>
    </w:p>
    <w:p>
      <w:r>
        <w:t>Los dos casos son análisis razonados del mismo escenario académico. CRM-N01 ilustra el flujo normal y CRM-E01 es la única excepción prioritaria para la exposición. Los resultados descritos son esperados; no se presentan como pruebas ejecutadas en Odoo ni como operaciones reales de MYS.</w:t>
      </w:r>
    </w:p>
    <w:tbl>
      <w:tblPr>
        <w:tblW w:type="auto" w:w="0"/>
        <w:jc w:val="center"/>
        <w:tblLayout w:type="fixed"/>
        <w:tblLook w:firstColumn="1" w:firstRow="1" w:lastColumn="0" w:lastRow="0" w:noHBand="0" w:noVBand="1" w:val="04A0"/>
      </w:tblPr>
      <w:tblGrid>
        <w:gridCol w:w="1644"/>
        <w:gridCol w:w="3912"/>
        <w:gridCol w:w="4280"/>
      </w:tblGrid>
      <w:tr>
        <w:trPr>
          <w:cantSplit/>
          <w:tblHeader/>
        </w:trPr>
        <w:tc>
          <w:tcPr>
            <w:tcW w:type="dxa" w:w="1644"/>
            <w:vAlign w:val="center"/>
            <w:tcMar>
              <w:top w:w="35" w:type="dxa"/>
              <w:bottom w:w="35" w:type="dxa"/>
              <w:left w:w="70" w:type="dxa"/>
              <w:right w:w="70" w:type="dxa"/>
            </w:tcMar>
          </w:tcPr>
          <w:p>
            <w:pPr>
              <w:spacing w:after="20" w:before="0" w:line="240" w:lineRule="auto"/>
            </w:pPr>
            <w:r>
              <w:rPr>
                <w:b/>
                <w:sz w:val="17"/>
              </w:rPr>
              <w:t>Criterio</w:t>
            </w:r>
          </w:p>
        </w:tc>
        <w:tc>
          <w:tcPr>
            <w:tcW w:type="dxa" w:w="3912"/>
            <w:vAlign w:val="center"/>
            <w:tcMar>
              <w:top w:w="35" w:type="dxa"/>
              <w:bottom w:w="35" w:type="dxa"/>
              <w:left w:w="70" w:type="dxa"/>
              <w:right w:w="70" w:type="dxa"/>
            </w:tcMar>
          </w:tcPr>
          <w:p>
            <w:pPr>
              <w:spacing w:after="20" w:before="0" w:line="240" w:lineRule="auto"/>
            </w:pPr>
            <w:r>
              <w:rPr>
                <w:b/>
                <w:sz w:val="17"/>
              </w:rPr>
              <w:t>Caso normal CRM-N01</w:t>
            </w:r>
          </w:p>
        </w:tc>
        <w:tc>
          <w:tcPr>
            <w:tcW w:type="dxa" w:w="4280"/>
            <w:vAlign w:val="center"/>
            <w:tcMar>
              <w:top w:w="35" w:type="dxa"/>
              <w:bottom w:w="35" w:type="dxa"/>
              <w:left w:w="70" w:type="dxa"/>
              <w:right w:w="70" w:type="dxa"/>
            </w:tcMar>
          </w:tcPr>
          <w:p>
            <w:pPr>
              <w:spacing w:after="20" w:before="0" w:line="240" w:lineRule="auto"/>
            </w:pPr>
            <w:r>
              <w:rPr>
                <w:b/>
                <w:sz w:val="17"/>
              </w:rPr>
              <w:t>Excepción prioritaria CRM-E01</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Contexto</w:t>
            </w:r>
          </w:p>
        </w:tc>
        <w:tc>
          <w:tcPr>
            <w:tcW w:type="dxa" w:w="3912"/>
            <w:vAlign w:val="center"/>
            <w:tcMar>
              <w:top w:w="35" w:type="dxa"/>
              <w:bottom w:w="35" w:type="dxa"/>
              <w:left w:w="70" w:type="dxa"/>
              <w:right w:w="70" w:type="dxa"/>
            </w:tcMar>
          </w:tcPr>
          <w:p>
            <w:pPr>
              <w:spacing w:after="20" w:before="0" w:line="240" w:lineRule="auto"/>
            </w:pPr>
            <w:r>
              <w:rPr>
                <w:b w:val="0"/>
                <w:sz w:val="17"/>
              </w:rPr>
              <w:t>Cliente nuevo presencial; cinco autoradios para uso final supuesto. Disponibilidad y condición comercial sustentadas dentro del ejemplo.</w:t>
            </w:r>
          </w:p>
        </w:tc>
        <w:tc>
          <w:tcPr>
            <w:tcW w:type="dxa" w:w="4280"/>
            <w:vAlign w:val="center"/>
            <w:tcMar>
              <w:top w:w="35" w:type="dxa"/>
              <w:bottom w:w="35" w:type="dxa"/>
              <w:left w:w="70" w:type="dxa"/>
              <w:right w:w="70" w:type="dxa"/>
            </w:tcMar>
          </w:tcPr>
          <w:p>
            <w:pPr>
              <w:spacing w:after="20" w:before="0" w:line="240" w:lineRule="auto"/>
            </w:pPr>
            <w:r>
              <w:rPr>
                <w:b w:val="0"/>
                <w:sz w:val="17"/>
              </w:rPr>
              <w:t>El mismo cliente solicita 10 % cuando aún no existe autorización del dueño para esa versión.</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Decisión</w:t>
            </w:r>
          </w:p>
        </w:tc>
        <w:tc>
          <w:tcPr>
            <w:tcW w:type="dxa" w:w="3912"/>
            <w:vAlign w:val="center"/>
            <w:tcMar>
              <w:top w:w="35" w:type="dxa"/>
              <w:bottom w:w="35" w:type="dxa"/>
              <w:left w:w="70" w:type="dxa"/>
              <w:right w:w="70" w:type="dxa"/>
            </w:tcMar>
          </w:tcPr>
          <w:p>
            <w:pPr>
              <w:spacing w:after="20" w:before="0" w:line="240" w:lineRule="auto"/>
            </w:pPr>
            <w:r>
              <w:rPr>
                <w:b w:val="0"/>
                <w:sz w:val="17"/>
              </w:rPr>
              <w:t>Vendedor emite y presenta v1 por S/ 1,900; cliente la acepta a las 10:10 dentro de la vigencia académica.</w:t>
            </w:r>
          </w:p>
        </w:tc>
        <w:tc>
          <w:tcPr>
            <w:tcW w:type="dxa" w:w="4280"/>
            <w:vAlign w:val="center"/>
            <w:tcMar>
              <w:top w:w="35" w:type="dxa"/>
              <w:bottom w:w="35" w:type="dxa"/>
              <w:left w:w="70" w:type="dxa"/>
              <w:right w:w="70" w:type="dxa"/>
            </w:tcMar>
          </w:tcPr>
          <w:p>
            <w:pPr>
              <w:spacing w:after="20" w:before="0" w:line="240" w:lineRule="auto"/>
            </w:pPr>
            <w:r>
              <w:rPr>
                <w:b w:val="0"/>
                <w:sz w:val="17"/>
              </w:rPr>
              <w:t>Vendedor no ofrece 10 % como aprobado. Dueño evalúa y deja decisión pendiente, aprobada o rechazada.</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Responsable</w:t>
            </w:r>
          </w:p>
        </w:tc>
        <w:tc>
          <w:tcPr>
            <w:tcW w:type="dxa" w:w="3912"/>
            <w:vAlign w:val="center"/>
            <w:tcMar>
              <w:top w:w="35" w:type="dxa"/>
              <w:bottom w:w="35" w:type="dxa"/>
              <w:left w:w="70" w:type="dxa"/>
              <w:right w:w="70" w:type="dxa"/>
            </w:tcMar>
          </w:tcPr>
          <w:p>
            <w:pPr>
              <w:spacing w:after="20" w:before="0" w:line="240" w:lineRule="auto"/>
            </w:pPr>
            <w:r>
              <w:rPr>
                <w:b w:val="0"/>
                <w:sz w:val="17"/>
              </w:rPr>
              <w:t>Vendedor de tienda.</w:t>
            </w:r>
          </w:p>
        </w:tc>
        <w:tc>
          <w:tcPr>
            <w:tcW w:type="dxa" w:w="4280"/>
            <w:vAlign w:val="center"/>
            <w:tcMar>
              <w:top w:w="35" w:type="dxa"/>
              <w:bottom w:w="35" w:type="dxa"/>
              <w:left w:w="70" w:type="dxa"/>
              <w:right w:w="70" w:type="dxa"/>
            </w:tcMar>
          </w:tcPr>
          <w:p>
            <w:pPr>
              <w:spacing w:after="20" w:before="0" w:line="240" w:lineRule="auto"/>
            </w:pPr>
            <w:r>
              <w:rPr>
                <w:b w:val="0"/>
                <w:sz w:val="17"/>
              </w:rPr>
              <w:t>Dueño decide; vendedor actualiza y comunica.</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Evidencia esperada</w:t>
            </w:r>
          </w:p>
        </w:tc>
        <w:tc>
          <w:tcPr>
            <w:tcW w:type="dxa" w:w="3912"/>
            <w:vAlign w:val="center"/>
            <w:tcMar>
              <w:top w:w="35" w:type="dxa"/>
              <w:bottom w:w="35" w:type="dxa"/>
              <w:left w:w="70" w:type="dxa"/>
              <w:right w:w="70" w:type="dxa"/>
            </w:tcMar>
          </w:tcPr>
          <w:p>
            <w:pPr>
              <w:spacing w:after="20" w:before="0" w:line="240" w:lineRule="auto"/>
            </w:pPr>
            <w:r>
              <w:rPr>
                <w:b w:val="0"/>
                <w:sz w:val="17"/>
              </w:rPr>
              <w:t>Cuenta/contacto sintéticos, fuente, lead, oportunidad, consulta de disponibilidad, condición comercial, v1 y aceptación coincidente.</w:t>
            </w:r>
          </w:p>
        </w:tc>
        <w:tc>
          <w:tcPr>
            <w:tcW w:type="dxa" w:w="4280"/>
            <w:vAlign w:val="center"/>
            <w:tcMar>
              <w:top w:w="35" w:type="dxa"/>
              <w:bottom w:w="35" w:type="dxa"/>
              <w:left w:w="70" w:type="dxa"/>
              <w:right w:w="70" w:type="dxa"/>
            </w:tcMar>
          </w:tcPr>
          <w:p>
            <w:pPr>
              <w:spacing w:after="20" w:before="0" w:line="240" w:lineRule="auto"/>
            </w:pPr>
            <w:r>
              <w:rPr>
                <w:b w:val="0"/>
                <w:sz w:val="17"/>
              </w:rPr>
              <w:t>Solicitud del 10 %, dueño responsable, decisión y motivo; versión y total autorizados, comunicación y respuesta propia del cliente.</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Impacto cliente</w:t>
            </w:r>
          </w:p>
        </w:tc>
        <w:tc>
          <w:tcPr>
            <w:tcW w:type="dxa" w:w="3912"/>
            <w:vAlign w:val="center"/>
            <w:tcMar>
              <w:top w:w="35" w:type="dxa"/>
              <w:bottom w:w="35" w:type="dxa"/>
              <w:left w:w="70" w:type="dxa"/>
              <w:right w:w="70" w:type="dxa"/>
            </w:tcMar>
          </w:tcPr>
          <w:p>
            <w:pPr>
              <w:spacing w:after="20" w:before="0" w:line="240" w:lineRule="auto"/>
            </w:pPr>
            <w:r>
              <w:rPr>
                <w:b w:val="0"/>
                <w:sz w:val="17"/>
              </w:rPr>
              <w:t>Oferta clara, precio y vigencia conocidos; libertad de aceptar o rechazar.</w:t>
            </w:r>
          </w:p>
        </w:tc>
        <w:tc>
          <w:tcPr>
            <w:tcW w:type="dxa" w:w="4280"/>
            <w:vAlign w:val="center"/>
            <w:tcMar>
              <w:top w:w="35" w:type="dxa"/>
              <w:bottom w:w="35" w:type="dxa"/>
              <w:left w:w="70" w:type="dxa"/>
              <w:right w:w="70" w:type="dxa"/>
            </w:tcMar>
          </w:tcPr>
          <w:p>
            <w:pPr>
              <w:spacing w:after="20" w:before="0" w:line="240" w:lineRule="auto"/>
            </w:pPr>
            <w:r>
              <w:rPr>
                <w:b w:val="0"/>
                <w:sz w:val="17"/>
              </w:rPr>
              <w:t>Espera o cambio de precio explicado; no se le promete beneficio no aprobado.</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Respuesta propuesta</w:t>
            </w:r>
          </w:p>
        </w:tc>
        <w:tc>
          <w:tcPr>
            <w:tcW w:type="dxa" w:w="3912"/>
            <w:vAlign w:val="center"/>
            <w:tcMar>
              <w:top w:w="35" w:type="dxa"/>
              <w:bottom w:w="35" w:type="dxa"/>
              <w:left w:w="70" w:type="dxa"/>
              <w:right w:w="70" w:type="dxa"/>
            </w:tcMar>
          </w:tcPr>
          <w:p>
            <w:pPr>
              <w:spacing w:after="20" w:before="0" w:line="240" w:lineRule="auto"/>
            </w:pPr>
            <w:r>
              <w:rPr>
                <w:b w:val="0"/>
                <w:sz w:val="17"/>
              </w:rPr>
              <w:t>Verificar versión y vigencia y registrar aceptación; concluir el tramo PC2 sin pedido. Si pide tiempo, acordar actividad y fecha sin cerrar como perdido.</w:t>
            </w:r>
          </w:p>
        </w:tc>
        <w:tc>
          <w:tcPr>
            <w:tcW w:type="dxa" w:w="4280"/>
            <w:vAlign w:val="center"/>
            <w:tcMar>
              <w:top w:w="35" w:type="dxa"/>
              <w:bottom w:w="35" w:type="dxa"/>
              <w:left w:w="70" w:type="dxa"/>
              <w:right w:w="70" w:type="dxa"/>
            </w:tcMar>
          </w:tcPr>
          <w:p>
            <w:pPr>
              <w:spacing w:after="20" w:before="0" w:line="240" w:lineRule="auto"/>
            </w:pPr>
            <w:r>
              <w:rPr>
                <w:b w:val="0"/>
                <w:sz w:val="17"/>
              </w:rPr>
              <w:t>Aprobación: v2 por S/ 1,800 y nueva respuesta. Rechazo: alternativa v2 por S/ 1,900 y nueva respuesta. Pendiente: explicar espera y acordar seguimiento, sin oferta excepcional firme.</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Resultado real</w:t>
            </w:r>
          </w:p>
        </w:tc>
        <w:tc>
          <w:tcPr>
            <w:tcW w:type="dxa" w:w="3912"/>
            <w:vAlign w:val="center"/>
            <w:tcMar>
              <w:top w:w="35" w:type="dxa"/>
              <w:bottom w:w="35" w:type="dxa"/>
              <w:left w:w="70" w:type="dxa"/>
              <w:right w:w="70" w:type="dxa"/>
            </w:tcMar>
          </w:tcPr>
          <w:p>
            <w:pPr>
              <w:spacing w:after="20" w:before="0" w:line="240" w:lineRule="auto"/>
            </w:pPr>
            <w:r>
              <w:rPr>
                <w:b w:val="0"/>
                <w:sz w:val="17"/>
              </w:rPr>
              <w:t>No se dispone de validación en empresa.</w:t>
            </w:r>
          </w:p>
        </w:tc>
        <w:tc>
          <w:tcPr>
            <w:tcW w:type="dxa" w:w="4280"/>
            <w:vAlign w:val="center"/>
            <w:tcMar>
              <w:top w:w="35" w:type="dxa"/>
              <w:bottom w:w="35" w:type="dxa"/>
              <w:left w:w="70" w:type="dxa"/>
              <w:right w:w="70" w:type="dxa"/>
            </w:tcMar>
          </w:tcPr>
          <w:p>
            <w:pPr>
              <w:spacing w:after="20" w:before="0" w:line="240" w:lineRule="auto"/>
            </w:pPr>
            <w:r>
              <w:rPr>
                <w:b w:val="0"/>
                <w:sz w:val="17"/>
              </w:rPr>
              <w:t>No se dispone de autorización real; solo análisis.</w:t>
            </w:r>
          </w:p>
        </w:tc>
      </w:tr>
    </w:tbl>
    <w:p>
      <w:pPr>
        <w:pStyle w:val="Heading2"/>
      </w:pPr>
      <w:r>
        <w:t>Situaciones complementarias y alcance</w:t>
      </w:r>
    </w:p>
    <w:tbl>
      <w:tblPr>
        <w:tblW w:type="auto" w:w="0"/>
        <w:jc w:val="center"/>
        <w:tblLayout w:type="fixed"/>
        <w:tblLook w:firstColumn="1" w:firstRow="1" w:lastColumn="0" w:lastRow="0" w:noHBand="0" w:noVBand="1" w:val="04A0"/>
      </w:tblPr>
      <w:tblGrid>
        <w:gridCol w:w="397"/>
        <w:gridCol w:w="2438"/>
        <w:gridCol w:w="1786"/>
        <w:gridCol w:w="5216"/>
      </w:tblGrid>
      <w:tr>
        <w:trPr>
          <w:cantSplit/>
          <w:tblHeader/>
        </w:trPr>
        <w:tc>
          <w:tcPr>
            <w:tcW w:type="dxa" w:w="397"/>
            <w:vAlign w:val="center"/>
            <w:tcMar>
              <w:top w:w="35" w:type="dxa"/>
              <w:bottom w:w="35" w:type="dxa"/>
              <w:left w:w="70" w:type="dxa"/>
              <w:right w:w="70" w:type="dxa"/>
            </w:tcMar>
          </w:tcPr>
          <w:p>
            <w:pPr>
              <w:spacing w:after="20" w:before="0" w:line="240" w:lineRule="auto"/>
            </w:pPr>
            <w:r>
              <w:rPr>
                <w:b/>
                <w:sz w:val="17"/>
              </w:rPr>
              <w:t>ID</w:t>
            </w:r>
          </w:p>
        </w:tc>
        <w:tc>
          <w:tcPr>
            <w:tcW w:type="dxa" w:w="2438"/>
            <w:vAlign w:val="center"/>
            <w:tcMar>
              <w:top w:w="35" w:type="dxa"/>
              <w:bottom w:w="35" w:type="dxa"/>
              <w:left w:w="70" w:type="dxa"/>
              <w:right w:w="70" w:type="dxa"/>
            </w:tcMar>
          </w:tcPr>
          <w:p>
            <w:pPr>
              <w:spacing w:after="20" w:before="0" w:line="240" w:lineRule="auto"/>
            </w:pPr>
            <w:r>
              <w:rPr>
                <w:b/>
                <w:sz w:val="17"/>
              </w:rPr>
              <w:t>Situación</w:t>
            </w:r>
          </w:p>
        </w:tc>
        <w:tc>
          <w:tcPr>
            <w:tcW w:type="dxa" w:w="1786"/>
            <w:vAlign w:val="center"/>
            <w:tcMar>
              <w:top w:w="35" w:type="dxa"/>
              <w:bottom w:w="35" w:type="dxa"/>
              <w:left w:w="70" w:type="dxa"/>
              <w:right w:w="70" w:type="dxa"/>
            </w:tcMar>
          </w:tcPr>
          <w:p>
            <w:pPr>
              <w:spacing w:after="20" w:before="0" w:line="240" w:lineRule="auto"/>
            </w:pPr>
            <w:r>
              <w:rPr>
                <w:b/>
                <w:sz w:val="17"/>
              </w:rPr>
              <w:t>Alcance v2.1</w:t>
            </w:r>
          </w:p>
        </w:tc>
        <w:tc>
          <w:tcPr>
            <w:tcW w:type="dxa" w:w="5216"/>
            <w:vAlign w:val="center"/>
            <w:tcMar>
              <w:top w:w="35" w:type="dxa"/>
              <w:bottom w:w="35" w:type="dxa"/>
              <w:left w:w="70" w:type="dxa"/>
              <w:right w:w="70" w:type="dxa"/>
            </w:tcMar>
          </w:tcPr>
          <w:p>
            <w:pPr>
              <w:spacing w:after="20" w:before="0" w:line="240" w:lineRule="auto"/>
            </w:pPr>
            <w:r>
              <w:rPr>
                <w:b/>
                <w:sz w:val="17"/>
              </w:rPr>
              <w:t>Tratamiento</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01</w:t>
            </w:r>
          </w:p>
        </w:tc>
        <w:tc>
          <w:tcPr>
            <w:tcW w:type="dxa" w:w="2438"/>
            <w:vAlign w:val="center"/>
            <w:tcMar>
              <w:top w:w="35" w:type="dxa"/>
              <w:bottom w:w="35" w:type="dxa"/>
              <w:left w:w="70" w:type="dxa"/>
              <w:right w:w="70" w:type="dxa"/>
            </w:tcMar>
          </w:tcPr>
          <w:p>
            <w:pPr>
              <w:spacing w:after="20" w:before="0" w:line="240" w:lineRule="auto"/>
            </w:pPr>
            <w:r>
              <w:rPr>
                <w:b w:val="0"/>
                <w:sz w:val="17"/>
              </w:rPr>
              <w:t>Cliente duplicado</w:t>
            </w:r>
          </w:p>
        </w:tc>
        <w:tc>
          <w:tcPr>
            <w:tcW w:type="dxa" w:w="1786"/>
            <w:vAlign w:val="center"/>
            <w:tcMar>
              <w:top w:w="35" w:type="dxa"/>
              <w:bottom w:w="35" w:type="dxa"/>
              <w:left w:w="70" w:type="dxa"/>
              <w:right w:w="70" w:type="dxa"/>
            </w:tcMar>
          </w:tcPr>
          <w:p>
            <w:pPr>
              <w:spacing w:after="20" w:before="0" w:line="240" w:lineRule="auto"/>
            </w:pPr>
            <w:r>
              <w:rPr>
                <w:b w:val="0"/>
                <w:sz w:val="17"/>
              </w:rPr>
              <w:t>CRM</w:t>
            </w:r>
          </w:p>
        </w:tc>
        <w:tc>
          <w:tcPr>
            <w:tcW w:type="dxa" w:w="5216"/>
            <w:vAlign w:val="center"/>
            <w:tcMar>
              <w:top w:w="35" w:type="dxa"/>
              <w:bottom w:w="35" w:type="dxa"/>
              <w:left w:w="70" w:type="dxa"/>
              <w:right w:w="70" w:type="dxa"/>
            </w:tcMar>
          </w:tcPr>
          <w:p>
            <w:pPr>
              <w:spacing w:after="20" w:before="0" w:line="240" w:lineRule="auto"/>
            </w:pPr>
            <w:r>
              <w:rPr>
                <w:b w:val="0"/>
                <w:sz w:val="17"/>
              </w:rPr>
              <w:t>Búsqueda y verificación de ficha; no crear duplicados.</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02</w:t>
            </w:r>
          </w:p>
        </w:tc>
        <w:tc>
          <w:tcPr>
            <w:tcW w:type="dxa" w:w="2438"/>
            <w:vAlign w:val="center"/>
            <w:tcMar>
              <w:top w:w="35" w:type="dxa"/>
              <w:bottom w:w="35" w:type="dxa"/>
              <w:left w:w="70" w:type="dxa"/>
              <w:right w:w="70" w:type="dxa"/>
            </w:tcMar>
          </w:tcPr>
          <w:p>
            <w:pPr>
              <w:spacing w:after="20" w:before="0" w:line="240" w:lineRule="auto"/>
            </w:pPr>
            <w:r>
              <w:rPr>
                <w:b w:val="0"/>
                <w:sz w:val="17"/>
              </w:rPr>
              <w:t>Contacto/datos mínimos incompletos</w:t>
            </w:r>
          </w:p>
        </w:tc>
        <w:tc>
          <w:tcPr>
            <w:tcW w:type="dxa" w:w="1786"/>
            <w:vAlign w:val="center"/>
            <w:tcMar>
              <w:top w:w="35" w:type="dxa"/>
              <w:bottom w:w="35" w:type="dxa"/>
              <w:left w:w="70" w:type="dxa"/>
              <w:right w:w="70" w:type="dxa"/>
            </w:tcMar>
          </w:tcPr>
          <w:p>
            <w:pPr>
              <w:spacing w:after="20" w:before="0" w:line="240" w:lineRule="auto"/>
            </w:pPr>
            <w:r>
              <w:rPr>
                <w:b w:val="0"/>
                <w:sz w:val="17"/>
              </w:rPr>
              <w:t>CRM</w:t>
            </w:r>
          </w:p>
        </w:tc>
        <w:tc>
          <w:tcPr>
            <w:tcW w:type="dxa" w:w="5216"/>
            <w:vAlign w:val="center"/>
            <w:tcMar>
              <w:top w:w="35" w:type="dxa"/>
              <w:bottom w:w="35" w:type="dxa"/>
              <w:left w:w="70" w:type="dxa"/>
              <w:right w:w="70" w:type="dxa"/>
            </w:tcMar>
          </w:tcPr>
          <w:p>
            <w:pPr>
              <w:spacing w:after="20" w:before="0" w:line="240" w:lineRule="auto"/>
            </w:pPr>
            <w:r>
              <w:rPr>
                <w:b w:val="0"/>
                <w:sz w:val="17"/>
              </w:rPr>
              <w:t>Pedir lo imprescindible; registrar faltante y actividad. No inventar datos ni duplicar ficha. D02.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03</w:t>
            </w:r>
          </w:p>
        </w:tc>
        <w:tc>
          <w:tcPr>
            <w:tcW w:type="dxa" w:w="2438"/>
            <w:vAlign w:val="center"/>
            <w:tcMar>
              <w:top w:w="35" w:type="dxa"/>
              <w:bottom w:w="35" w:type="dxa"/>
              <w:left w:w="70" w:type="dxa"/>
              <w:right w:w="70" w:type="dxa"/>
            </w:tcMar>
          </w:tcPr>
          <w:p>
            <w:pPr>
              <w:spacing w:after="20" w:before="0" w:line="240" w:lineRule="auto"/>
            </w:pPr>
            <w:r>
              <w:rPr>
                <w:b w:val="0"/>
                <w:sz w:val="17"/>
              </w:rPr>
              <w:t>Producto descontinuado o no comercializable</w:t>
            </w:r>
          </w:p>
        </w:tc>
        <w:tc>
          <w:tcPr>
            <w:tcW w:type="dxa" w:w="1786"/>
            <w:vAlign w:val="center"/>
            <w:tcMar>
              <w:top w:w="35" w:type="dxa"/>
              <w:bottom w:w="35" w:type="dxa"/>
              <w:left w:w="70" w:type="dxa"/>
              <w:right w:w="70" w:type="dxa"/>
            </w:tcMar>
          </w:tcPr>
          <w:p>
            <w:pPr>
              <w:spacing w:after="20" w:before="0" w:line="240" w:lineRule="auto"/>
            </w:pPr>
            <w:r>
              <w:rPr>
                <w:b w:val="0"/>
                <w:sz w:val="17"/>
              </w:rPr>
              <w:t>Comercial</w:t>
            </w:r>
          </w:p>
        </w:tc>
        <w:tc>
          <w:tcPr>
            <w:tcW w:type="dxa" w:w="5216"/>
            <w:vAlign w:val="center"/>
            <w:tcMar>
              <w:top w:w="35" w:type="dxa"/>
              <w:bottom w:w="35" w:type="dxa"/>
              <w:left w:w="70" w:type="dxa"/>
              <w:right w:w="70" w:type="dxa"/>
            </w:tcMar>
          </w:tcPr>
          <w:p>
            <w:pPr>
              <w:spacing w:after="20" w:before="0" w:line="240" w:lineRule="auto"/>
            </w:pPr>
            <w:r>
              <w:rPr>
                <w:b w:val="0"/>
                <w:sz w:val="17"/>
              </w:rPr>
              <w:t>Dueño evalúa alternativa; vendedor informa y acuerda seguimiento. Solo cerrar ante abandono definitivo. D03/D05.</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04</w:t>
            </w:r>
          </w:p>
        </w:tc>
        <w:tc>
          <w:tcPr>
            <w:tcW w:type="dxa" w:w="2438"/>
            <w:vAlign w:val="center"/>
            <w:tcMar>
              <w:top w:w="35" w:type="dxa"/>
              <w:bottom w:w="35" w:type="dxa"/>
              <w:left w:w="70" w:type="dxa"/>
              <w:right w:w="70" w:type="dxa"/>
            </w:tcMar>
          </w:tcPr>
          <w:p>
            <w:pPr>
              <w:spacing w:after="20" w:before="0" w:line="240" w:lineRule="auto"/>
            </w:pPr>
            <w:r>
              <w:rPr>
                <w:b w:val="0"/>
                <w:sz w:val="17"/>
              </w:rPr>
              <w:t>Cotización vencida</w:t>
            </w:r>
          </w:p>
        </w:tc>
        <w:tc>
          <w:tcPr>
            <w:tcW w:type="dxa" w:w="1786"/>
            <w:vAlign w:val="center"/>
            <w:tcMar>
              <w:top w:w="35" w:type="dxa"/>
              <w:bottom w:w="35" w:type="dxa"/>
              <w:left w:w="70" w:type="dxa"/>
              <w:right w:w="70" w:type="dxa"/>
            </w:tcMar>
          </w:tcPr>
          <w:p>
            <w:pPr>
              <w:spacing w:after="20" w:before="0" w:line="240" w:lineRule="auto"/>
            </w:pPr>
            <w:r>
              <w:rPr>
                <w:b w:val="0"/>
                <w:sz w:val="17"/>
              </w:rPr>
              <w:t>Comercial</w:t>
            </w:r>
          </w:p>
        </w:tc>
        <w:tc>
          <w:tcPr>
            <w:tcW w:type="dxa" w:w="5216"/>
            <w:vAlign w:val="center"/>
            <w:tcMar>
              <w:top w:w="35" w:type="dxa"/>
              <w:bottom w:w="35" w:type="dxa"/>
              <w:left w:w="70" w:type="dxa"/>
              <w:right w:w="70" w:type="dxa"/>
            </w:tcMar>
          </w:tcPr>
          <w:p>
            <w:pPr>
              <w:spacing w:after="20" w:before="0" w:line="240" w:lineRule="auto"/>
            </w:pPr>
            <w:r>
              <w:rPr>
                <w:b w:val="0"/>
                <w:sz w:val="17"/>
              </w:rPr>
              <w:t>Recotizar, versionar y presentar otra vez antes de aceptar. D05 devuelve a D03.</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05</w:t>
            </w:r>
          </w:p>
        </w:tc>
        <w:tc>
          <w:tcPr>
            <w:tcW w:type="dxa" w:w="2438"/>
            <w:vAlign w:val="center"/>
            <w:tcMar>
              <w:top w:w="35" w:type="dxa"/>
              <w:bottom w:w="35" w:type="dxa"/>
              <w:left w:w="70" w:type="dxa"/>
              <w:right w:w="70" w:type="dxa"/>
            </w:tcMar>
          </w:tcPr>
          <w:p>
            <w:pPr>
              <w:spacing w:after="20" w:before="0" w:line="240" w:lineRule="auto"/>
            </w:pPr>
            <w:r>
              <w:rPr>
                <w:b w:val="0"/>
                <w:sz w:val="17"/>
              </w:rPr>
              <w:t>Descuento sin autorización</w:t>
            </w:r>
          </w:p>
        </w:tc>
        <w:tc>
          <w:tcPr>
            <w:tcW w:type="dxa" w:w="1786"/>
            <w:vAlign w:val="center"/>
            <w:tcMar>
              <w:top w:w="35" w:type="dxa"/>
              <w:bottom w:w="35" w:type="dxa"/>
              <w:left w:w="70" w:type="dxa"/>
              <w:right w:w="70" w:type="dxa"/>
            </w:tcMar>
          </w:tcPr>
          <w:p>
            <w:pPr>
              <w:spacing w:after="20" w:before="0" w:line="240" w:lineRule="auto"/>
            </w:pPr>
            <w:r>
              <w:rPr>
                <w:b w:val="0"/>
                <w:sz w:val="17"/>
              </w:rPr>
              <w:t>Comercial - prioritaria</w:t>
            </w:r>
          </w:p>
        </w:tc>
        <w:tc>
          <w:tcPr>
            <w:tcW w:type="dxa" w:w="5216"/>
            <w:vAlign w:val="center"/>
            <w:tcMar>
              <w:top w:w="35" w:type="dxa"/>
              <w:bottom w:w="35" w:type="dxa"/>
              <w:left w:w="70" w:type="dxa"/>
              <w:right w:w="70" w:type="dxa"/>
            </w:tcMar>
          </w:tcPr>
          <w:p>
            <w:pPr>
              <w:spacing w:after="20" w:before="0" w:line="240" w:lineRule="auto"/>
            </w:pPr>
            <w:r>
              <w:rPr>
                <w:b w:val="0"/>
                <w:sz w:val="17"/>
              </w:rPr>
              <w:t>Dueño decide; vendedor versiona y comunica. Decisión pendiente no autoriza la oferta. D04.</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06</w:t>
            </w:r>
          </w:p>
        </w:tc>
        <w:tc>
          <w:tcPr>
            <w:tcW w:type="dxa" w:w="2438"/>
            <w:vAlign w:val="center"/>
            <w:tcMar>
              <w:top w:w="35" w:type="dxa"/>
              <w:bottom w:w="35" w:type="dxa"/>
              <w:left w:w="70" w:type="dxa"/>
              <w:right w:w="70" w:type="dxa"/>
            </w:tcMar>
          </w:tcPr>
          <w:p>
            <w:pPr>
              <w:spacing w:after="20" w:before="0" w:line="240" w:lineRule="auto"/>
            </w:pPr>
            <w:r>
              <w:rPr>
                <w:b w:val="0"/>
                <w:sz w:val="17"/>
              </w:rPr>
              <w:t>Cliente no acepta</w:t>
            </w:r>
          </w:p>
        </w:tc>
        <w:tc>
          <w:tcPr>
            <w:tcW w:type="dxa" w:w="1786"/>
            <w:vAlign w:val="center"/>
            <w:tcMar>
              <w:top w:w="35" w:type="dxa"/>
              <w:bottom w:w="35" w:type="dxa"/>
              <w:left w:w="70" w:type="dxa"/>
              <w:right w:w="70" w:type="dxa"/>
            </w:tcMar>
          </w:tcPr>
          <w:p>
            <w:pPr>
              <w:spacing w:after="20" w:before="0" w:line="240" w:lineRule="auto"/>
            </w:pPr>
            <w:r>
              <w:rPr>
                <w:b w:val="0"/>
                <w:sz w:val="17"/>
              </w:rPr>
              <w:t>Comercial - resultado normal</w:t>
            </w:r>
          </w:p>
        </w:tc>
        <w:tc>
          <w:tcPr>
            <w:tcW w:type="dxa" w:w="5216"/>
            <w:vAlign w:val="center"/>
            <w:tcMar>
              <w:top w:w="35" w:type="dxa"/>
              <w:bottom w:w="35" w:type="dxa"/>
              <w:left w:w="70" w:type="dxa"/>
              <w:right w:w="70" w:type="dxa"/>
            </w:tcMar>
          </w:tcPr>
          <w:p>
            <w:pPr>
              <w:spacing w:after="20" w:before="0" w:line="240" w:lineRule="auto"/>
            </w:pPr>
            <w:r>
              <w:rPr>
                <w:b w:val="0"/>
                <w:sz w:val="17"/>
              </w:rPr>
              <w:t>Distinguir ajuste, espera y abandono definitivo; solo este último registra pérdida. D05.</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07</w:t>
            </w:r>
          </w:p>
        </w:tc>
        <w:tc>
          <w:tcPr>
            <w:tcW w:type="dxa" w:w="2438"/>
            <w:vAlign w:val="center"/>
            <w:tcMar>
              <w:top w:w="35" w:type="dxa"/>
              <w:bottom w:w="35" w:type="dxa"/>
              <w:left w:w="70" w:type="dxa"/>
              <w:right w:w="70" w:type="dxa"/>
            </w:tcMar>
          </w:tcPr>
          <w:p>
            <w:pPr>
              <w:spacing w:after="20" w:before="0" w:line="240" w:lineRule="auto"/>
            </w:pPr>
            <w:r>
              <w:rPr>
                <w:b w:val="0"/>
                <w:sz w:val="17"/>
              </w:rPr>
              <w:t>SKU inactivo / inexistente</w:t>
            </w:r>
          </w:p>
        </w:tc>
        <w:tc>
          <w:tcPr>
            <w:tcW w:type="dxa" w:w="1786"/>
            <w:vAlign w:val="center"/>
            <w:tcMar>
              <w:top w:w="35" w:type="dxa"/>
              <w:bottom w:w="35" w:type="dxa"/>
              <w:left w:w="70" w:type="dxa"/>
              <w:right w:w="70" w:type="dxa"/>
            </w:tcMar>
          </w:tcPr>
          <w:p>
            <w:pPr>
              <w:spacing w:after="20" w:before="0" w:line="240" w:lineRule="auto"/>
            </w:pPr>
            <w:r>
              <w:rPr>
                <w:b w:val="0"/>
                <w:sz w:val="17"/>
              </w:rPr>
              <w:t>Continuidad ERP</w:t>
            </w:r>
          </w:p>
        </w:tc>
        <w:tc>
          <w:tcPr>
            <w:tcW w:type="dxa" w:w="5216"/>
            <w:vAlign w:val="center"/>
            <w:tcMar>
              <w:top w:w="35" w:type="dxa"/>
              <w:bottom w:w="35" w:type="dxa"/>
              <w:left w:w="70" w:type="dxa"/>
              <w:right w:w="70" w:type="dxa"/>
            </w:tcMar>
          </w:tcPr>
          <w:p>
            <w:pPr>
              <w:spacing w:after="20" w:before="0" w:line="240" w:lineRule="auto"/>
            </w:pPr>
            <w:r>
              <w:rPr>
                <w:b w:val="0"/>
                <w:sz w:val="17"/>
              </w:rPr>
              <w:t>Validación transaccional futura, no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08</w:t>
            </w:r>
          </w:p>
        </w:tc>
        <w:tc>
          <w:tcPr>
            <w:tcW w:type="dxa" w:w="2438"/>
            <w:vAlign w:val="center"/>
            <w:tcMar>
              <w:top w:w="35" w:type="dxa"/>
              <w:bottom w:w="35" w:type="dxa"/>
              <w:left w:w="70" w:type="dxa"/>
              <w:right w:w="70" w:type="dxa"/>
            </w:tcMar>
          </w:tcPr>
          <w:p>
            <w:pPr>
              <w:spacing w:after="20" w:before="0" w:line="240" w:lineRule="auto"/>
            </w:pPr>
            <w:r>
              <w:rPr>
                <w:b w:val="0"/>
                <w:sz w:val="17"/>
              </w:rPr>
              <w:t>Precio distinto del autorizado en ERP</w:t>
            </w:r>
          </w:p>
        </w:tc>
        <w:tc>
          <w:tcPr>
            <w:tcW w:type="dxa" w:w="1786"/>
            <w:vAlign w:val="center"/>
            <w:tcMar>
              <w:top w:w="35" w:type="dxa"/>
              <w:bottom w:w="35" w:type="dxa"/>
              <w:left w:w="70" w:type="dxa"/>
              <w:right w:w="70" w:type="dxa"/>
            </w:tcMar>
          </w:tcPr>
          <w:p>
            <w:pPr>
              <w:spacing w:after="20" w:before="0" w:line="240" w:lineRule="auto"/>
            </w:pPr>
            <w:r>
              <w:rPr>
                <w:b w:val="0"/>
                <w:sz w:val="17"/>
              </w:rPr>
              <w:t>Continuidad ERP</w:t>
            </w:r>
          </w:p>
        </w:tc>
        <w:tc>
          <w:tcPr>
            <w:tcW w:type="dxa" w:w="5216"/>
            <w:vAlign w:val="center"/>
            <w:tcMar>
              <w:top w:w="35" w:type="dxa"/>
              <w:bottom w:w="35" w:type="dxa"/>
              <w:left w:w="70" w:type="dxa"/>
              <w:right w:w="70" w:type="dxa"/>
            </w:tcMar>
          </w:tcPr>
          <w:p>
            <w:pPr>
              <w:spacing w:after="20" w:before="0" w:line="240" w:lineRule="auto"/>
            </w:pPr>
            <w:r>
              <w:rPr>
                <w:b w:val="0"/>
                <w:sz w:val="17"/>
              </w:rPr>
              <w:t>Reconciliación al comprometer operación, no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09</w:t>
            </w:r>
          </w:p>
        </w:tc>
        <w:tc>
          <w:tcPr>
            <w:tcW w:type="dxa" w:w="2438"/>
            <w:vAlign w:val="center"/>
            <w:tcMar>
              <w:top w:w="35" w:type="dxa"/>
              <w:bottom w:w="35" w:type="dxa"/>
              <w:left w:w="70" w:type="dxa"/>
              <w:right w:w="70" w:type="dxa"/>
            </w:tcMar>
          </w:tcPr>
          <w:p>
            <w:pPr>
              <w:spacing w:after="20" w:before="0" w:line="240" w:lineRule="auto"/>
            </w:pPr>
            <w:r>
              <w:rPr>
                <w:b w:val="0"/>
                <w:sz w:val="17"/>
              </w:rPr>
              <w:t>Stock insuficiente / promesa condicionada</w:t>
            </w:r>
          </w:p>
        </w:tc>
        <w:tc>
          <w:tcPr>
            <w:tcW w:type="dxa" w:w="1786"/>
            <w:vAlign w:val="center"/>
            <w:tcMar>
              <w:top w:w="35" w:type="dxa"/>
              <w:bottom w:w="35" w:type="dxa"/>
              <w:left w:w="70" w:type="dxa"/>
              <w:right w:w="70" w:type="dxa"/>
            </w:tcMar>
          </w:tcPr>
          <w:p>
            <w:pPr>
              <w:spacing w:after="20" w:before="0" w:line="240" w:lineRule="auto"/>
            </w:pPr>
            <w:r>
              <w:rPr>
                <w:b w:val="0"/>
                <w:sz w:val="17"/>
              </w:rPr>
              <w:t>Comercial (decisión) + futuro ERP</w:t>
            </w:r>
          </w:p>
        </w:tc>
        <w:tc>
          <w:tcPr>
            <w:tcW w:type="dxa" w:w="5216"/>
            <w:vAlign w:val="center"/>
            <w:tcMar>
              <w:top w:w="35" w:type="dxa"/>
              <w:bottom w:w="35" w:type="dxa"/>
              <w:left w:w="70" w:type="dxa"/>
              <w:right w:w="70" w:type="dxa"/>
            </w:tcMar>
          </w:tcPr>
          <w:p>
            <w:pPr>
              <w:spacing w:after="20" w:before="0" w:line="240" w:lineRule="auto"/>
            </w:pPr>
            <w:r>
              <w:rPr>
                <w:b w:val="0"/>
                <w:sz w:val="17"/>
              </w:rPr>
              <w:t>No prometer fecha/stock sin evidencia; ERP comprobará en ejecución.</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10</w:t>
            </w:r>
          </w:p>
        </w:tc>
        <w:tc>
          <w:tcPr>
            <w:tcW w:type="dxa" w:w="2438"/>
            <w:vAlign w:val="center"/>
            <w:tcMar>
              <w:top w:w="35" w:type="dxa"/>
              <w:bottom w:w="35" w:type="dxa"/>
              <w:left w:w="70" w:type="dxa"/>
              <w:right w:w="70" w:type="dxa"/>
            </w:tcMar>
          </w:tcPr>
          <w:p>
            <w:pPr>
              <w:spacing w:after="20" w:before="0" w:line="240" w:lineRule="auto"/>
            </w:pPr>
            <w:r>
              <w:rPr>
                <w:b w:val="0"/>
                <w:sz w:val="17"/>
              </w:rPr>
              <w:t>Solicitud duplicada</w:t>
            </w:r>
          </w:p>
        </w:tc>
        <w:tc>
          <w:tcPr>
            <w:tcW w:type="dxa" w:w="1786"/>
            <w:vAlign w:val="center"/>
            <w:tcMar>
              <w:top w:w="35" w:type="dxa"/>
              <w:bottom w:w="35" w:type="dxa"/>
              <w:left w:w="70" w:type="dxa"/>
              <w:right w:w="70" w:type="dxa"/>
            </w:tcMar>
          </w:tcPr>
          <w:p>
            <w:pPr>
              <w:spacing w:after="20" w:before="0" w:line="240" w:lineRule="auto"/>
            </w:pPr>
            <w:r>
              <w:rPr>
                <w:b w:val="0"/>
                <w:sz w:val="17"/>
              </w:rPr>
              <w:t>Continuidad técnica</w:t>
            </w:r>
          </w:p>
        </w:tc>
        <w:tc>
          <w:tcPr>
            <w:tcW w:type="dxa" w:w="5216"/>
            <w:vAlign w:val="center"/>
            <w:tcMar>
              <w:top w:w="35" w:type="dxa"/>
              <w:bottom w:w="35" w:type="dxa"/>
              <w:left w:w="70" w:type="dxa"/>
              <w:right w:w="70" w:type="dxa"/>
            </w:tcMar>
          </w:tcPr>
          <w:p>
            <w:pPr>
              <w:spacing w:after="20" w:before="0" w:line="240" w:lineRule="auto"/>
            </w:pPr>
            <w:r>
              <w:rPr>
                <w:b w:val="0"/>
                <w:sz w:val="17"/>
              </w:rPr>
              <w:t>Clave idempotente; fuera de rúbrica.</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11</w:t>
            </w:r>
          </w:p>
        </w:tc>
        <w:tc>
          <w:tcPr>
            <w:tcW w:type="dxa" w:w="2438"/>
            <w:vAlign w:val="center"/>
            <w:tcMar>
              <w:top w:w="35" w:type="dxa"/>
              <w:bottom w:w="35" w:type="dxa"/>
              <w:left w:w="70" w:type="dxa"/>
              <w:right w:w="70" w:type="dxa"/>
            </w:tcMar>
          </w:tcPr>
          <w:p>
            <w:pPr>
              <w:spacing w:after="20" w:before="0" w:line="240" w:lineRule="auto"/>
            </w:pPr>
            <w:r>
              <w:rPr>
                <w:b w:val="0"/>
                <w:sz w:val="17"/>
              </w:rPr>
              <w:t>ERP o dependencia no disponible</w:t>
            </w:r>
          </w:p>
        </w:tc>
        <w:tc>
          <w:tcPr>
            <w:tcW w:type="dxa" w:w="1786"/>
            <w:vAlign w:val="center"/>
            <w:tcMar>
              <w:top w:w="35" w:type="dxa"/>
              <w:bottom w:w="35" w:type="dxa"/>
              <w:left w:w="70" w:type="dxa"/>
              <w:right w:w="70" w:type="dxa"/>
            </w:tcMar>
          </w:tcPr>
          <w:p>
            <w:pPr>
              <w:spacing w:after="20" w:before="0" w:line="240" w:lineRule="auto"/>
            </w:pPr>
            <w:r>
              <w:rPr>
                <w:b w:val="0"/>
                <w:sz w:val="17"/>
              </w:rPr>
              <w:t>Continuidad técnica</w:t>
            </w:r>
          </w:p>
        </w:tc>
        <w:tc>
          <w:tcPr>
            <w:tcW w:type="dxa" w:w="5216"/>
            <w:vAlign w:val="center"/>
            <w:tcMar>
              <w:top w:w="35" w:type="dxa"/>
              <w:bottom w:w="35" w:type="dxa"/>
              <w:left w:w="70" w:type="dxa"/>
              <w:right w:w="70" w:type="dxa"/>
            </w:tcMar>
          </w:tcPr>
          <w:p>
            <w:pPr>
              <w:spacing w:after="20" w:before="0" w:line="240" w:lineRule="auto"/>
            </w:pPr>
            <w:r>
              <w:rPr>
                <w:b w:val="0"/>
                <w:sz w:val="17"/>
              </w:rPr>
              <w:t>No inferir aceptación/rechazo; estado desconocido; fuera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12</w:t>
            </w:r>
          </w:p>
        </w:tc>
        <w:tc>
          <w:tcPr>
            <w:tcW w:type="dxa" w:w="2438"/>
            <w:vAlign w:val="center"/>
            <w:tcMar>
              <w:top w:w="35" w:type="dxa"/>
              <w:bottom w:w="35" w:type="dxa"/>
              <w:left w:w="70" w:type="dxa"/>
              <w:right w:w="70" w:type="dxa"/>
            </w:tcMar>
          </w:tcPr>
          <w:p>
            <w:pPr>
              <w:spacing w:after="20" w:before="0" w:line="240" w:lineRule="auto"/>
            </w:pPr>
            <w:r>
              <w:rPr>
                <w:b w:val="0"/>
                <w:sz w:val="17"/>
              </w:rPr>
              <w:t>Respuesta ERP inconsistente</w:t>
            </w:r>
          </w:p>
        </w:tc>
        <w:tc>
          <w:tcPr>
            <w:tcW w:type="dxa" w:w="1786"/>
            <w:vAlign w:val="center"/>
            <w:tcMar>
              <w:top w:w="35" w:type="dxa"/>
              <w:bottom w:w="35" w:type="dxa"/>
              <w:left w:w="70" w:type="dxa"/>
              <w:right w:w="70" w:type="dxa"/>
            </w:tcMar>
          </w:tcPr>
          <w:p>
            <w:pPr>
              <w:spacing w:after="20" w:before="0" w:line="240" w:lineRule="auto"/>
            </w:pPr>
            <w:r>
              <w:rPr>
                <w:b w:val="0"/>
                <w:sz w:val="17"/>
              </w:rPr>
              <w:t>Continuidad técnica</w:t>
            </w:r>
          </w:p>
        </w:tc>
        <w:tc>
          <w:tcPr>
            <w:tcW w:type="dxa" w:w="5216"/>
            <w:vAlign w:val="center"/>
            <w:tcMar>
              <w:top w:w="35" w:type="dxa"/>
              <w:bottom w:w="35" w:type="dxa"/>
              <w:left w:w="70" w:type="dxa"/>
              <w:right w:w="70" w:type="dxa"/>
            </w:tcMar>
          </w:tcPr>
          <w:p>
            <w:pPr>
              <w:spacing w:after="20" w:before="0" w:line="240" w:lineRule="auto"/>
            </w:pPr>
            <w:r>
              <w:rPr>
                <w:b w:val="0"/>
                <w:sz w:val="17"/>
              </w:rPr>
              <w:t>Escalamiento/auditoría futura; fuera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13</w:t>
            </w:r>
          </w:p>
        </w:tc>
        <w:tc>
          <w:tcPr>
            <w:tcW w:type="dxa" w:w="2438"/>
            <w:vAlign w:val="center"/>
            <w:tcMar>
              <w:top w:w="35" w:type="dxa"/>
              <w:bottom w:w="35" w:type="dxa"/>
              <w:left w:w="70" w:type="dxa"/>
              <w:right w:w="70" w:type="dxa"/>
            </w:tcMar>
          </w:tcPr>
          <w:p>
            <w:pPr>
              <w:spacing w:after="20" w:before="0" w:line="240" w:lineRule="auto"/>
            </w:pPr>
            <w:r>
              <w:rPr>
                <w:b w:val="0"/>
                <w:sz w:val="17"/>
              </w:rPr>
              <w:t>Datos/vínculos de cotización inconsistentes</w:t>
            </w:r>
          </w:p>
        </w:tc>
        <w:tc>
          <w:tcPr>
            <w:tcW w:type="dxa" w:w="1786"/>
            <w:vAlign w:val="center"/>
            <w:tcMar>
              <w:top w:w="35" w:type="dxa"/>
              <w:bottom w:w="35" w:type="dxa"/>
              <w:left w:w="70" w:type="dxa"/>
              <w:right w:w="70" w:type="dxa"/>
            </w:tcMar>
          </w:tcPr>
          <w:p>
            <w:pPr>
              <w:spacing w:after="20" w:before="0" w:line="240" w:lineRule="auto"/>
            </w:pPr>
            <w:r>
              <w:rPr>
                <w:b w:val="0"/>
                <w:sz w:val="17"/>
              </w:rPr>
              <w:t>Comercial si se detecta antes de pedido</w:t>
            </w:r>
          </w:p>
        </w:tc>
        <w:tc>
          <w:tcPr>
            <w:tcW w:type="dxa" w:w="5216"/>
            <w:vAlign w:val="center"/>
            <w:tcMar>
              <w:top w:w="35" w:type="dxa"/>
              <w:bottom w:w="35" w:type="dxa"/>
              <w:left w:w="70" w:type="dxa"/>
              <w:right w:w="70" w:type="dxa"/>
            </w:tcMar>
          </w:tcPr>
          <w:p>
            <w:pPr>
              <w:spacing w:after="20" w:before="0" w:line="240" w:lineRule="auto"/>
            </w:pPr>
            <w:r>
              <w:rPr>
                <w:b w:val="0"/>
                <w:sz w:val="17"/>
              </w:rPr>
              <w:t>Comprobar cliente, versión, vigencia y condiciones; si difieren, recotizar y presentar. D05.</w:t>
            </w:r>
          </w:p>
        </w:tc>
      </w:tr>
    </w:tbl>
    <w:p>
      <w:r>
        <w:t>Lectura del inventario. Las situaciones 01-06, 09 y 13 son decisiones o incidencias comerciales del modelo; 07-08 y 10-12 quedan como continuidad transaccional o técnica. No son trece casos obligatorios de exposición. Un estado pendiente cierra la atención actual, pero conserva el lead o la oportunidad para seguimiento.</w:t>
      </w:r>
    </w:p>
    <w:p>
      <w:pPr>
        <w:pStyle w:val="Heading1"/>
        <w:pageBreakBefore/>
      </w:pPr>
      <w:r>
        <w:t>5 Fuentes límites y continuidad</w:t>
      </w:r>
    </w:p>
    <w:tbl>
      <w:tblPr>
        <w:tblW w:type="auto" w:w="0"/>
        <w:jc w:val="center"/>
        <w:tblLayout w:type="fixed"/>
        <w:tblLook w:firstColumn="1" w:firstRow="1" w:lastColumn="0" w:lastRow="0" w:noHBand="0" w:noVBand="1" w:val="04A0"/>
      </w:tblPr>
      <w:tblGrid>
        <w:gridCol w:w="3175"/>
        <w:gridCol w:w="6661"/>
      </w:tblGrid>
      <w:tr>
        <w:trPr>
          <w:cantSplit/>
          <w:tblHeader/>
        </w:trPr>
        <w:tc>
          <w:tcPr>
            <w:tcW w:type="dxa" w:w="3175"/>
            <w:vAlign w:val="center"/>
            <w:tcMar>
              <w:top w:w="35" w:type="dxa"/>
              <w:bottom w:w="35" w:type="dxa"/>
              <w:left w:w="70" w:type="dxa"/>
              <w:right w:w="70" w:type="dxa"/>
            </w:tcMar>
          </w:tcPr>
          <w:p>
            <w:pPr>
              <w:spacing w:after="20" w:before="0" w:line="240" w:lineRule="auto"/>
            </w:pPr>
            <w:r>
              <w:rPr>
                <w:b/>
                <w:sz w:val="17"/>
              </w:rPr>
              <w:t>Fuente / fecha</w:t>
            </w:r>
          </w:p>
        </w:tc>
        <w:tc>
          <w:tcPr>
            <w:tcW w:type="dxa" w:w="6661"/>
            <w:vAlign w:val="center"/>
            <w:tcMar>
              <w:top w:w="35" w:type="dxa"/>
              <w:bottom w:w="35" w:type="dxa"/>
              <w:left w:w="70" w:type="dxa"/>
              <w:right w:w="70" w:type="dxa"/>
            </w:tcMar>
          </w:tcPr>
          <w:p>
            <w:pPr>
              <w:spacing w:after="20" w:before="0" w:line="240" w:lineRule="auto"/>
            </w:pPr>
            <w:r>
              <w:rPr>
                <w:b/>
                <w:sz w:val="17"/>
              </w:rPr>
              <w:t>Aplicación y límite</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Rúbrica oficial PC2 v2.1, 16/10/2026</w:t>
            </w:r>
          </w:p>
        </w:tc>
        <w:tc>
          <w:tcPr>
            <w:tcW w:type="dxa" w:w="6661"/>
            <w:vAlign w:val="center"/>
            <w:tcMar>
              <w:top w:w="35" w:type="dxa"/>
              <w:bottom w:w="35" w:type="dxa"/>
              <w:left w:w="70" w:type="dxa"/>
              <w:right w:w="70" w:type="dxa"/>
            </w:tcMar>
          </w:tcPr>
          <w:p>
            <w:pPr>
              <w:spacing w:after="20" w:before="0" w:line="240" w:lineRule="auto"/>
            </w:pPr>
            <w:r>
              <w:rPr>
                <w:b w:val="0"/>
                <w:sz w:val="17"/>
              </w:rPr>
              <w:t>Tramo CRM hasta diapositiva 12 S6; un expositor y una excepción.</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Plantilla PC2 G7 v2.1, 16/10/2026</w:t>
            </w:r>
          </w:p>
        </w:tc>
        <w:tc>
          <w:tcPr>
            <w:tcW w:type="dxa" w:w="6661"/>
            <w:vAlign w:val="center"/>
            <w:tcMar>
              <w:top w:w="35" w:type="dxa"/>
              <w:bottom w:w="35" w:type="dxa"/>
              <w:left w:w="70" w:type="dxa"/>
              <w:right w:w="70" w:type="dxa"/>
            </w:tcMar>
          </w:tcPr>
          <w:p>
            <w:pPr>
              <w:spacing w:after="20" w:before="0" w:line="240" w:lineRule="auto"/>
            </w:pPr>
            <w:r>
              <w:rPr>
                <w:b w:val="0"/>
                <w:sz w:val="17"/>
              </w:rPr>
              <w:t>Cinco secciones: incremento, CRM, decisiones, casos y fuentes.</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Materiales de sesiones 5 y 6, revisión 16/10/2026</w:t>
            </w:r>
          </w:p>
        </w:tc>
        <w:tc>
          <w:tcPr>
            <w:tcW w:type="dxa" w:w="6661"/>
            <w:vAlign w:val="center"/>
            <w:tcMar>
              <w:top w:w="35" w:type="dxa"/>
              <w:bottom w:w="35" w:type="dxa"/>
              <w:left w:w="70" w:type="dxa"/>
              <w:right w:w="70" w:type="dxa"/>
            </w:tcMar>
          </w:tcPr>
          <w:p>
            <w:pPr>
              <w:spacing w:after="20" w:before="0" w:line="240" w:lineRule="auto"/>
            </w:pPr>
            <w:r>
              <w:rPr>
                <w:b w:val="0"/>
                <w:sz w:val="17"/>
              </w:rPr>
              <w:t>Macroprocesos, catálogos y contexto CRM. Límite evaluable: diapositiva 12 de S6. Contenidos posteriores solo orientan continuidad.</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Repositorio ERP-SIE, revisión 16/10/2026</w:t>
            </w:r>
          </w:p>
        </w:tc>
        <w:tc>
          <w:tcPr>
            <w:tcW w:type="dxa" w:w="6661"/>
            <w:vAlign w:val="center"/>
            <w:tcMar>
              <w:top w:w="35" w:type="dxa"/>
              <w:bottom w:w="35" w:type="dxa"/>
              <w:left w:w="70" w:type="dxa"/>
              <w:right w:w="70" w:type="dxa"/>
            </w:tcMar>
          </w:tcPr>
          <w:p>
            <w:pPr>
              <w:spacing w:after="20" w:before="0" w:line="240" w:lineRule="auto"/>
            </w:pPr>
            <w:r>
              <w:rPr>
                <w:b w:val="0"/>
                <w:sz w:val="17"/>
              </w:rPr>
              <w:t>PC1 Odoo/UBLHUB, archivo comercial anterior WhatsApp, simulación técnica local v2.0; evidencia histórica no sustituye PC2 v2.1.</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Documento conjunto de Benjamín y Adrián, revisión 16/10/2026</w:t>
            </w:r>
          </w:p>
        </w:tc>
        <w:tc>
          <w:tcPr>
            <w:tcW w:type="dxa" w:w="6661"/>
            <w:vAlign w:val="center"/>
            <w:tcMar>
              <w:top w:w="35" w:type="dxa"/>
              <w:bottom w:w="35" w:type="dxa"/>
              <w:left w:w="70" w:type="dxa"/>
              <w:right w:w="70" w:type="dxa"/>
            </w:tcMar>
          </w:tcPr>
          <w:p>
            <w:pPr>
              <w:spacing w:after="20" w:before="0" w:line="240" w:lineRule="auto"/>
            </w:pPr>
            <w:r>
              <w:rPr>
                <w:b w:val="0"/>
                <w:sz w:val="17"/>
              </w:rPr>
              <w:t>Base de matriz PC1-PC2, escenario físico y decisiones. Sus precios, porcentajes y demás datos de ejemplo son supuestos; no validación empresarial.</w:t>
            </w:r>
          </w:p>
        </w:tc>
      </w:tr>
    </w:tbl>
    <w:p>
      <w:r>
        <w:t>IA y validación. Se utilizó ChatGPT para contrastar la rúbrica, alinear el documento y generar y revisar BPMN. Se trabajó con documentos académicos y datos sintéticos. Los cinco XML se contrastaron con el esquema oficial BPMN 2.0.2 y se importaron sin advertencias en bpmn-js 18.31.0; 22 recorridos estructurales cubren los 81 flujos modelados. No acreditan reglas empresariales ni ejecución en Bizagi u Odoo. Benjamín y Adrián deben revisar y asumir sus respectivos aportes antes de la entrega; no se registra esa aprobación como ya realizada.</w:t>
      </w:r>
    </w:p>
    <w:p>
      <w:r>
        <w:t>Fuentes y privacidad. La rúbrica y la plantilla G7 v2.1 sustentan las secciones 1-5; los materiales S5-S6 sustentan el contexto. Notación BPMN: OMG, https://www.omg.org/spec/BPMN/2.0.2/; visor bpmn-js, https://bpmn.io/toolkit/bpmn-js/walkthrough/ (consulta 16/10/2026). Se atribuyen los materiales docentes a su fuente académica; no se presume licencia de redistribución. El paquete no incluye datos personales de clientes, credenciales ni registros reales de la empresa.</w:t>
      </w:r>
    </w:p>
    <w:p>
      <w:r>
        <w:t>Límites y continuidad. La política de descuento, la probabilidad, el uso final, la disponibilidad, la vigencia y las condiciones del caso se declaran supuestos didácticos que requieren contraste empresarial. La identidad del expositor está pendiente de designación por el grupo. Contrato técnico CRM-ERP, idempotencia, pedido, stock comprometido, cobro, comprobantes, entrega y posventa quedan fuera de PC2. Los anexos D01-D05 apoyan el análisis comercial y no añaden requisitos técnicos a la rúbrica.</w:t>
      </w:r>
    </w:p>
    <w:p>
      <w:pPr>
        <w:pStyle w:val="Heading2"/>
      </w:pPr>
      <w:r>
        <w:t>Lectura de los anexos BPMN</w:t>
      </w:r>
    </w:p>
    <w:tbl>
      <w:tblPr>
        <w:tblW w:type="auto" w:w="0"/>
        <w:tblLayout w:type="fixed"/>
        <w:tblLook w:firstColumn="1" w:firstRow="1" w:lastColumn="0" w:lastRow="0" w:noHBand="0" w:noVBand="1" w:val="04A0"/>
      </w:tblPr>
      <w:tblGrid>
        <w:gridCol w:w="1134"/>
        <w:gridCol w:w="8702"/>
      </w:tblGrid>
      <w:tr>
        <w:trPr>
          <w:cantSplit/>
          <w:tblHeader/>
        </w:trPr>
        <w:tc>
          <w:tcPr>
            <w:tcW w:type="dxa" w:w="1134"/>
            <w:tcMar>
              <w:top w:w="35" w:type="dxa"/>
              <w:bottom w:w="35" w:type="dxa"/>
              <w:left w:w="70" w:type="dxa"/>
              <w:right w:w="70" w:type="dxa"/>
            </w:tcMar>
          </w:tcPr>
          <w:p>
            <w:pPr>
              <w:spacing w:after="20" w:before="0" w:line="240" w:lineRule="auto"/>
            </w:pPr>
            <w:r>
              <w:rPr>
                <w:b/>
                <w:sz w:val="17"/>
              </w:rPr>
              <w:t>Vista</w:t>
            </w:r>
          </w:p>
        </w:tc>
        <w:tc>
          <w:tcPr>
            <w:tcW w:type="dxa" w:w="8702"/>
            <w:tcMar>
              <w:top w:w="35" w:type="dxa"/>
              <w:bottom w:w="35" w:type="dxa"/>
              <w:left w:w="70" w:type="dxa"/>
              <w:right w:w="70" w:type="dxa"/>
            </w:tcMar>
          </w:tcPr>
          <w:p>
            <w:pPr>
              <w:spacing w:after="20" w:before="0" w:line="240" w:lineRule="auto"/>
            </w:pPr>
            <w:r>
              <w:rPr>
                <w:b/>
                <w:sz w:val="17"/>
              </w:rPr>
              <w:t>Función y sección relacionada</w:t>
            </w:r>
          </w:p>
        </w:tc>
      </w:tr>
      <w:tr>
        <w:trPr>
          <w:cantSplit/>
        </w:trPr>
        <w:tc>
          <w:tcPr>
            <w:tcW w:type="dxa" w:w="1134"/>
            <w:tcMar>
              <w:top w:w="35" w:type="dxa"/>
              <w:bottom w:w="35" w:type="dxa"/>
              <w:left w:w="70" w:type="dxa"/>
              <w:right w:w="70" w:type="dxa"/>
            </w:tcMar>
          </w:tcPr>
          <w:p>
            <w:pPr>
              <w:spacing w:after="20" w:before="0" w:line="240" w:lineRule="auto"/>
            </w:pPr>
            <w:r>
              <w:rPr>
                <w:b w:val="0"/>
                <w:sz w:val="17"/>
              </w:rPr>
              <w:t>D01</w:t>
            </w:r>
          </w:p>
        </w:tc>
        <w:tc>
          <w:tcPr>
            <w:tcW w:type="dxa" w:w="8702"/>
            <w:tcMar>
              <w:top w:w="35" w:type="dxa"/>
              <w:bottom w:w="35" w:type="dxa"/>
              <w:left w:w="70" w:type="dxa"/>
              <w:right w:w="70" w:type="dxa"/>
            </w:tcMar>
          </w:tcPr>
          <w:p>
            <w:pPr>
              <w:spacing w:after="20" w:before="0" w:line="240" w:lineRule="auto"/>
            </w:pPr>
            <w:r>
              <w:rPr>
                <w:b w:val="0"/>
                <w:sz w:val="17"/>
              </w:rPr>
              <w:t>Vista general: conecta captación, preparación y respuesta. Secciones 1-4.</w:t>
            </w:r>
          </w:p>
        </w:tc>
      </w:tr>
      <w:tr>
        <w:trPr>
          <w:cantSplit/>
        </w:trPr>
        <w:tc>
          <w:tcPr>
            <w:tcW w:type="dxa" w:w="1134"/>
            <w:tcMar>
              <w:top w:w="35" w:type="dxa"/>
              <w:bottom w:w="35" w:type="dxa"/>
              <w:left w:w="70" w:type="dxa"/>
              <w:right w:w="70" w:type="dxa"/>
            </w:tcMar>
          </w:tcPr>
          <w:p>
            <w:pPr>
              <w:spacing w:after="20" w:before="0" w:line="240" w:lineRule="auto"/>
            </w:pPr>
            <w:r>
              <w:rPr>
                <w:b w:val="0"/>
                <w:sz w:val="17"/>
              </w:rPr>
              <w:t>D02</w:t>
            </w:r>
          </w:p>
        </w:tc>
        <w:tc>
          <w:tcPr>
            <w:tcW w:type="dxa" w:w="8702"/>
            <w:tcMar>
              <w:top w:w="35" w:type="dxa"/>
              <w:bottom w:w="35" w:type="dxa"/>
              <w:left w:w="70" w:type="dxa"/>
              <w:right w:w="70" w:type="dxa"/>
            </w:tcMar>
          </w:tcPr>
          <w:p>
            <w:pPr>
              <w:spacing w:after="20" w:before="0" w:line="240" w:lineRule="auto"/>
            </w:pPr>
            <w:r>
              <w:rPr>
                <w:b w:val="0"/>
                <w:sz w:val="17"/>
              </w:rPr>
              <w:t>Cuenta, contacto, datos y calificación del lead. Sección 2.</w:t>
            </w:r>
          </w:p>
        </w:tc>
      </w:tr>
      <w:tr>
        <w:trPr>
          <w:cantSplit/>
        </w:trPr>
        <w:tc>
          <w:tcPr>
            <w:tcW w:type="dxa" w:w="1134"/>
            <w:tcMar>
              <w:top w:w="35" w:type="dxa"/>
              <w:bottom w:w="35" w:type="dxa"/>
              <w:left w:w="70" w:type="dxa"/>
              <w:right w:w="70" w:type="dxa"/>
            </w:tcMar>
          </w:tcPr>
          <w:p>
            <w:pPr>
              <w:spacing w:after="20" w:before="0" w:line="240" w:lineRule="auto"/>
            </w:pPr>
            <w:r>
              <w:rPr>
                <w:b w:val="0"/>
                <w:sz w:val="17"/>
              </w:rPr>
              <w:t>D03</w:t>
            </w:r>
          </w:p>
        </w:tc>
        <w:tc>
          <w:tcPr>
            <w:tcW w:type="dxa" w:w="8702"/>
            <w:tcMar>
              <w:top w:w="35" w:type="dxa"/>
              <w:bottom w:w="35" w:type="dxa"/>
              <w:left w:w="70" w:type="dxa"/>
              <w:right w:w="70" w:type="dxa"/>
            </w:tcMar>
          </w:tcPr>
          <w:p>
            <w:pPr>
              <w:spacing w:after="20" w:before="0" w:line="240" w:lineRule="auto"/>
            </w:pPr>
            <w:r>
              <w:rPr>
                <w:b w:val="0"/>
                <w:sz w:val="17"/>
              </w:rPr>
              <w:t>Disponibilidad, autorización y condición comercial antes de emitir. Secciones 2-3.</w:t>
            </w:r>
          </w:p>
        </w:tc>
      </w:tr>
      <w:tr>
        <w:trPr>
          <w:cantSplit/>
        </w:trPr>
        <w:tc>
          <w:tcPr>
            <w:tcW w:type="dxa" w:w="1134"/>
            <w:tcMar>
              <w:top w:w="35" w:type="dxa"/>
              <w:bottom w:w="35" w:type="dxa"/>
              <w:left w:w="70" w:type="dxa"/>
              <w:right w:w="70" w:type="dxa"/>
            </w:tcMar>
          </w:tcPr>
          <w:p>
            <w:pPr>
              <w:spacing w:after="20" w:before="0" w:line="240" w:lineRule="auto"/>
            </w:pPr>
            <w:r>
              <w:rPr>
                <w:b w:val="0"/>
                <w:sz w:val="17"/>
              </w:rPr>
              <w:t>D04</w:t>
            </w:r>
          </w:p>
        </w:tc>
        <w:tc>
          <w:tcPr>
            <w:tcW w:type="dxa" w:w="8702"/>
            <w:tcMar>
              <w:top w:w="35" w:type="dxa"/>
              <w:bottom w:w="35" w:type="dxa"/>
              <w:left w:w="70" w:type="dxa"/>
              <w:right w:w="70" w:type="dxa"/>
            </w:tcMar>
          </w:tcPr>
          <w:p>
            <w:pPr>
              <w:spacing w:after="20" w:before="0" w:line="240" w:lineRule="auto"/>
            </w:pPr>
            <w:r>
              <w:rPr>
                <w:b w:val="0"/>
                <w:sz w:val="17"/>
              </w:rPr>
              <w:t>Descuento ordinario, excepcional aprobado, rechazado o pendiente. Secciones 3-4.</w:t>
            </w:r>
          </w:p>
        </w:tc>
      </w:tr>
      <w:tr>
        <w:trPr>
          <w:cantSplit/>
        </w:trPr>
        <w:tc>
          <w:tcPr>
            <w:tcW w:type="dxa" w:w="1134"/>
            <w:tcMar>
              <w:top w:w="35" w:type="dxa"/>
              <w:bottom w:w="35" w:type="dxa"/>
              <w:left w:w="70" w:type="dxa"/>
              <w:right w:w="70" w:type="dxa"/>
            </w:tcMar>
          </w:tcPr>
          <w:p>
            <w:pPr>
              <w:spacing w:after="20" w:before="0" w:line="240" w:lineRule="auto"/>
            </w:pPr>
            <w:r>
              <w:rPr>
                <w:b w:val="0"/>
                <w:sz w:val="17"/>
              </w:rPr>
              <w:t>D05</w:t>
            </w:r>
          </w:p>
        </w:tc>
        <w:tc>
          <w:tcPr>
            <w:tcW w:type="dxa" w:w="8702"/>
            <w:tcMar>
              <w:top w:w="35" w:type="dxa"/>
              <w:bottom w:w="35" w:type="dxa"/>
              <w:left w:w="70" w:type="dxa"/>
              <w:right w:w="70" w:type="dxa"/>
            </w:tcMar>
          </w:tcPr>
          <w:p>
            <w:pPr>
              <w:spacing w:after="20" w:before="0" w:line="240" w:lineRule="auto"/>
            </w:pPr>
            <w:r>
              <w:rPr>
                <w:b w:val="0"/>
                <w:sz w:val="17"/>
              </w:rPr>
              <w:t>Versión, vigencia, aceptación, ajuste, espera y rechazo definitivo. Secciones 2-4.</w:t>
            </w:r>
          </w:p>
        </w:tc>
      </w:tr>
    </w:tbl>
    <w:p>
      <w:pPr>
        <w:sectPr>
          <w:footerReference w:type="default" r:id="rId11"/>
          <w:pgSz w:w="11909" w:h="16834"/>
          <w:pgMar w:top="979" w:right="1037" w:bottom="979" w:left="1037" w:header="720" w:footer="720" w:gutter="0"/>
          <w:cols w:space="720"/>
          <w:docGrid w:linePitch="360"/>
        </w:sectPr>
      </w:pPr>
    </w:p>
    <w:p>
      <w:pPr>
        <w:pStyle w:val="Heading1"/>
        <w:pageBreakBefore w:val="0"/>
        <w:spacing w:before="0" w:after="80"/>
      </w:pPr>
      <w:r>
        <w:t>Anexo D01 Vista general del proceso comercial</w:t>
      </w:r>
    </w:p>
    <w:p>
      <w:pPr>
        <w:spacing w:after="100"/>
      </w:pPr>
      <w:r>
        <w:t>D01 coordina el escenario. Las actividades de borde grueso llaman a D02, D03 y D05. La atención puede concluir con aceptación, lead pendiente, oportunidad pendiente o pérdida definitiva.</w:t>
      </w:r>
    </w:p>
    <w:p>
      <w:pPr>
        <w:spacing w:after="60" w:line="240" w:lineRule="auto"/>
        <w:jc w:val="center"/>
      </w:pPr>
      <w:r>
        <w:drawing>
          <wp:inline xmlns:a="http://schemas.openxmlformats.org/drawingml/2006/main" xmlns:pic="http://schemas.openxmlformats.org/drawingml/2006/picture">
            <wp:extent cx="8670000" cy="5202000"/>
            <wp:docPr id="1" name="Picture 1" descr="D01 coordina el escenario. Las actividades de borde grueso llaman a D02, D03 y D05. La atención puede concluir con aceptación, lead pendiente, oportunidad pendiente o pérdida definitiva."/>
            <wp:cNvGraphicFramePr>
              <a:graphicFrameLocks noChangeAspect="1"/>
            </wp:cNvGraphicFramePr>
            <a:graphic>
              <a:graphicData uri="http://schemas.openxmlformats.org/drawingml/2006/picture">
                <pic:pic>
                  <pic:nvPicPr>
                    <pic:cNvPr id="0" name="01_vista_general.png"/>
                    <pic:cNvPicPr/>
                  </pic:nvPicPr>
                  <pic:blipFill>
                    <a:blip r:embed="rId12"/>
                    <a:stretch>
                      <a:fillRect/>
                    </a:stretch>
                  </pic:blipFill>
                  <pic:spPr>
                    <a:xfrm>
                      <a:off x="0" y="0"/>
                      <a:ext cx="8670000" cy="5202000"/>
                    </a:xfrm>
                    <a:prstGeom prst="rect"/>
                  </pic:spPr>
                </pic:pic>
              </a:graphicData>
            </a:graphic>
          </wp:inline>
        </w:drawing>
      </w:r>
    </w:p>
    <w:p>
      <w:pPr>
        <w:spacing w:after="0"/>
        <w:jc w:val="center"/>
      </w:pPr>
      <w:r>
        <w:rPr>
          <w:sz w:val="16"/>
        </w:rPr>
        <w:t>Figura D01. Modelo documental BPMN 2.0.2 del aporte de Adrián, alineado con la matriz de decisiones conjunta. Elaboración con apoyo de IA; comprobación estructural, sin ejecución empresarial.</w:t>
      </w:r>
    </w:p>
    <w:p>
      <w:pPr>
        <w:pStyle w:val="Heading1"/>
        <w:pageBreakBefore/>
        <w:spacing w:before="0" w:after="80"/>
      </w:pPr>
      <w:r>
        <w:t>Anexo D02 Captación y calificación del lead</w:t>
      </w:r>
    </w:p>
    <w:p>
      <w:pPr>
        <w:spacing w:after="100"/>
      </w:pPr>
      <w:r>
        <w:t>D02 resuelve identidad y datos antes de crear o actualizar la ficha. Solo una necesidad calificada continúa a preparación de oferta; un faltante conserva una actividad pendiente.</w:t>
      </w:r>
    </w:p>
    <w:p>
      <w:pPr>
        <w:spacing w:after="60" w:line="240" w:lineRule="auto"/>
        <w:jc w:val="center"/>
      </w:pPr>
      <w:r>
        <w:drawing>
          <wp:inline xmlns:a="http://schemas.openxmlformats.org/drawingml/2006/main" xmlns:pic="http://schemas.openxmlformats.org/drawingml/2006/picture">
            <wp:extent cx="9576000" cy="5091240"/>
            <wp:docPr id="2" name="Picture 2" descr="D02 resuelve identidad y datos antes de crear o actualizar la ficha. Solo una necesidad calificada continúa a preparación de oferta; un faltante conserva una actividad pendiente."/>
            <wp:cNvGraphicFramePr>
              <a:graphicFrameLocks noChangeAspect="1"/>
            </wp:cNvGraphicFramePr>
            <a:graphic>
              <a:graphicData uri="http://schemas.openxmlformats.org/drawingml/2006/picture">
                <pic:pic>
                  <pic:nvPicPr>
                    <pic:cNvPr id="0" name="02_captacion_calificacion.png"/>
                    <pic:cNvPicPr/>
                  </pic:nvPicPr>
                  <pic:blipFill>
                    <a:blip r:embed="rId13"/>
                    <a:stretch>
                      <a:fillRect/>
                    </a:stretch>
                  </pic:blipFill>
                  <pic:spPr>
                    <a:xfrm>
                      <a:off x="0" y="0"/>
                      <a:ext cx="9576000" cy="5091240"/>
                    </a:xfrm>
                    <a:prstGeom prst="rect"/>
                  </pic:spPr>
                </pic:pic>
              </a:graphicData>
            </a:graphic>
          </wp:inline>
        </w:drawing>
      </w:r>
    </w:p>
    <w:p>
      <w:pPr>
        <w:spacing w:after="0"/>
        <w:jc w:val="center"/>
      </w:pPr>
      <w:r>
        <w:rPr>
          <w:sz w:val="16"/>
        </w:rPr>
        <w:t>Figura D02. Modelo documental BPMN 2.0.2 del aporte de Adrián, alineado con la matriz de decisiones conjunta. Elaboración con apoyo de IA; comprobación estructural, sin ejecución empresarial.</w:t>
      </w:r>
    </w:p>
    <w:p>
      <w:pPr>
        <w:pStyle w:val="Heading1"/>
        <w:pageBreakBefore/>
        <w:spacing w:before="0" w:after="80"/>
      </w:pPr>
      <w:r>
        <w:t>Anexo D03 Preparación de la cotización</w:t>
      </w:r>
    </w:p>
    <w:p>
      <w:pPr>
        <w:spacing w:after="100"/>
      </w:pPr>
      <w:r>
        <w:t>D03 exige una oferta viable, descuento autorizado y condición comercial definida. Una promesa sin sustento o una decisión pendiente devuelve el control a D01 para informar y acordar seguimiento.</w:t>
      </w:r>
    </w:p>
    <w:p>
      <w:pPr>
        <w:spacing w:after="60" w:line="240" w:lineRule="auto"/>
        <w:jc w:val="center"/>
      </w:pPr>
      <w:r>
        <w:drawing>
          <wp:inline xmlns:a="http://schemas.openxmlformats.org/drawingml/2006/main" xmlns:pic="http://schemas.openxmlformats.org/drawingml/2006/picture">
            <wp:extent cx="8752664" cy="5202000"/>
            <wp:docPr id="3" name="Picture 3" descr="D03 exige una oferta viable, descuento autorizado y condición comercial definida. Una promesa sin sustento o una decisión pendiente devuelve el control a D01 para informar y acordar seguimiento."/>
            <wp:cNvGraphicFramePr>
              <a:graphicFrameLocks noChangeAspect="1"/>
            </wp:cNvGraphicFramePr>
            <a:graphic>
              <a:graphicData uri="http://schemas.openxmlformats.org/drawingml/2006/picture">
                <pic:pic>
                  <pic:nvPicPr>
                    <pic:cNvPr id="0" name="03_preparacion_cotizacion.png"/>
                    <pic:cNvPicPr/>
                  </pic:nvPicPr>
                  <pic:blipFill>
                    <a:blip r:embed="rId14"/>
                    <a:stretch>
                      <a:fillRect/>
                    </a:stretch>
                  </pic:blipFill>
                  <pic:spPr>
                    <a:xfrm>
                      <a:off x="0" y="0"/>
                      <a:ext cx="8752664" cy="5202000"/>
                    </a:xfrm>
                    <a:prstGeom prst="rect"/>
                  </pic:spPr>
                </pic:pic>
              </a:graphicData>
            </a:graphic>
          </wp:inline>
        </w:drawing>
      </w:r>
    </w:p>
    <w:p>
      <w:pPr>
        <w:spacing w:after="0"/>
        <w:jc w:val="center"/>
      </w:pPr>
      <w:r>
        <w:rPr>
          <w:sz w:val="16"/>
        </w:rPr>
        <w:t>Figura D03. Modelo documental BPMN 2.0.2 del aporte de Adrián, alineado con la matriz de decisiones conjunta. Elaboración con apoyo de IA; comprobación estructural, sin ejecución empresarial.</w:t>
      </w:r>
    </w:p>
    <w:p>
      <w:pPr>
        <w:pStyle w:val="Heading1"/>
        <w:pageBreakBefore/>
        <w:spacing w:before="0" w:after="80"/>
      </w:pPr>
      <w:r>
        <w:t>Anexo D04 Autorización del descuento comercial</w:t>
      </w:r>
    </w:p>
    <w:p>
      <w:pPr>
        <w:spacing w:after="100"/>
      </w:pPr>
      <w:r>
        <w:t>D04 desarrolla la excepción prioritaria del 10 %. El dueño decide; el vendedor no se autoaprueba. Tras rechazo, se recalcula una alternativa ordinaria y D05 solicita una nueva respuesta.</w:t>
      </w:r>
    </w:p>
    <w:p>
      <w:pPr>
        <w:spacing w:after="60" w:line="240" w:lineRule="auto"/>
        <w:jc w:val="center"/>
      </w:pPr>
      <w:r>
        <w:drawing>
          <wp:inline xmlns:a="http://schemas.openxmlformats.org/drawingml/2006/main" xmlns:pic="http://schemas.openxmlformats.org/drawingml/2006/picture">
            <wp:extent cx="9576000" cy="5036976"/>
            <wp:docPr id="4" name="Picture 4" descr="D04 desarrolla la excepción prioritaria del 10 %. El dueño decide; el vendedor no se autoaprueba. Tras rechazo, se recalcula una alternativa ordinaria y D05 solicita una nueva respuesta."/>
            <wp:cNvGraphicFramePr>
              <a:graphicFrameLocks noChangeAspect="1"/>
            </wp:cNvGraphicFramePr>
            <a:graphic>
              <a:graphicData uri="http://schemas.openxmlformats.org/drawingml/2006/picture">
                <pic:pic>
                  <pic:nvPicPr>
                    <pic:cNvPr id="0" name="04_descuento_excepcional.png"/>
                    <pic:cNvPicPr/>
                  </pic:nvPicPr>
                  <pic:blipFill>
                    <a:blip r:embed="rId15"/>
                    <a:stretch>
                      <a:fillRect/>
                    </a:stretch>
                  </pic:blipFill>
                  <pic:spPr>
                    <a:xfrm>
                      <a:off x="0" y="0"/>
                      <a:ext cx="9576000" cy="5036976"/>
                    </a:xfrm>
                    <a:prstGeom prst="rect"/>
                  </pic:spPr>
                </pic:pic>
              </a:graphicData>
            </a:graphic>
          </wp:inline>
        </w:drawing>
      </w:r>
    </w:p>
    <w:p>
      <w:pPr>
        <w:spacing w:after="0"/>
        <w:jc w:val="center"/>
      </w:pPr>
      <w:r>
        <w:rPr>
          <w:sz w:val="16"/>
        </w:rPr>
        <w:t>Figura D04. Modelo documental BPMN 2.0.2 del aporte de Adrián, alineado con la matriz de decisiones conjunta. Elaboración con apoyo de IA; comprobación estructural, sin ejecución empresarial.</w:t>
      </w:r>
    </w:p>
    <w:p>
      <w:pPr>
        <w:pStyle w:val="Heading1"/>
        <w:pageBreakBefore/>
        <w:spacing w:before="0" w:after="80"/>
      </w:pPr>
      <w:r>
        <w:t>Anexo D05 Cotización y respuesta del cliente</w:t>
      </w:r>
    </w:p>
    <w:p>
      <w:pPr>
        <w:spacing w:after="100"/>
      </w:pPr>
      <w:r>
        <w:t>D05 separa aceptación, ajuste, espera y abandono definitivo. La versión y su vigencia se verifican antes de presentar y antes de aceptar. La aceptación no crea pedido operativo.</w:t>
      </w:r>
    </w:p>
    <w:p>
      <w:pPr>
        <w:spacing w:after="60" w:line="240" w:lineRule="auto"/>
        <w:jc w:val="center"/>
      </w:pPr>
      <w:r>
        <w:drawing>
          <wp:inline xmlns:a="http://schemas.openxmlformats.org/drawingml/2006/main" xmlns:pic="http://schemas.openxmlformats.org/drawingml/2006/picture">
            <wp:extent cx="9190812" cy="5202000"/>
            <wp:docPr id="5" name="Picture 5" descr="D05 separa aceptación, ajuste, espera y abandono definitivo. La versión y su vigencia se verifican antes de presentar y antes de aceptar. La aceptación no crea pedido operativo."/>
            <wp:cNvGraphicFramePr>
              <a:graphicFrameLocks noChangeAspect="1"/>
            </wp:cNvGraphicFramePr>
            <a:graphic>
              <a:graphicData uri="http://schemas.openxmlformats.org/drawingml/2006/picture">
                <pic:pic>
                  <pic:nvPicPr>
                    <pic:cNvPr id="0" name="05_respuesta_cliente.png"/>
                    <pic:cNvPicPr/>
                  </pic:nvPicPr>
                  <pic:blipFill>
                    <a:blip r:embed="rId16"/>
                    <a:stretch>
                      <a:fillRect/>
                    </a:stretch>
                  </pic:blipFill>
                  <pic:spPr>
                    <a:xfrm>
                      <a:off x="0" y="0"/>
                      <a:ext cx="9190812" cy="5202000"/>
                    </a:xfrm>
                    <a:prstGeom prst="rect"/>
                  </pic:spPr>
                </pic:pic>
              </a:graphicData>
            </a:graphic>
          </wp:inline>
        </w:drawing>
      </w:r>
    </w:p>
    <w:p>
      <w:pPr>
        <w:spacing w:after="0"/>
        <w:jc w:val="center"/>
      </w:pPr>
      <w:r>
        <w:rPr>
          <w:sz w:val="16"/>
        </w:rPr>
        <w:t>Figura D05. Modelo documental BPMN 2.0.2 del aporte de Adrián, alineado con la matriz de decisiones conjunta. Elaboración con apoyo de IA; comprobación estructural, sin ejecución empresarial.</w:t>
      </w:r>
    </w:p>
    <w:sectPr>
      <w:pgSz w:w="16834" w:h="11909" w:orient="landscape"/>
      <w:pgMar w:top="792"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4"/>
      </w:rPr>
      <w:t xml:space="preserve">GE703 · PC2 v2.1 · Grupo 7 · Benjamín y Adrián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E355D"/>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E35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PC2 v2.1 - Benjamín y Adrián - Importaciones MYS</dc:title>
  <dc:subject/>
  <dc:creator>Grupo 7 - revisión asistida</dc:creator>
  <cp:keywords/>
  <dc:description>generated by python-docx</dc:description>
  <cp:lastModifiedBy/>
  <cp:revision>1</cp:revision>
  <dcterms:created xsi:type="dcterms:W3CDTF">2013-12-23T23:15:00Z</dcterms:created>
  <dcterms:modified xsi:type="dcterms:W3CDTF">2013-12-23T23:15:00Z</dcterms:modified>
  <cp:category/>
</cp:coreProperties>
</file>