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UNI · FIIS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35" w:lineRule="auto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Plantilla de entrega · PC2 · G7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before="0" w:lineRule="auto"/>
        <w:jc w:val="left"/>
        <w:rPr/>
      </w:pPr>
      <w:r w:rsidDel="00000000" w:rsidR="00000000" w:rsidRPr="00000000">
        <w:rPr>
          <w:b w:val="0"/>
          <w:bCs w:val="0"/>
          <w:i w:val="1"/>
          <w:iCs w:val="1"/>
          <w:color w:val="000000"/>
          <w:sz w:val="18"/>
          <w:szCs w:val="18"/>
          <w:rtl w:val="0"/>
        </w:rPr>
        <w:t xml:space="preserve">IMPORTACIONES MYS HERMANOS S.A.C. · GE703 · Sistemas Integrados Empresariales · 2026-2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00" w:before="20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Identificación del incremento</w:t>
      </w:r>
      <w:r w:rsidDel="00000000" w:rsidR="00000000" w:rsidRPr="00000000">
        <w:rPr>
          <w:rtl w:val="0"/>
        </w:rPr>
      </w:r>
    </w:p>
    <w:tbl>
      <w:tblPr>
        <w:tblStyle w:val="Table1"/>
        <w:tblW w:w="10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00"/>
        <w:gridCol w:w="6900"/>
        <w:tblGridChange w:id="0">
          <w:tblGrid>
            <w:gridCol w:w="3500"/>
            <w:gridCol w:w="6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G7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IMPORTACIONES MYS HERMANOS S.A.C.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Fecha de 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17/10/2026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Enlace al repositorio o paquete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Expositor/a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Expositor/a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spacing w:after="100" w:before="20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Integrantes y contribuciones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1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color w:val="303030"/>
          <w:sz w:val="20"/>
          <w:szCs w:val="20"/>
          <w:rtl w:val="0"/>
        </w:rPr>
        <w:t xml:space="preserve">Registrar una contribución verificable por integrante: modelo, fuente, prueba, configuración, revisión o validación.</w:t>
      </w:r>
      <w:r w:rsidDel="00000000" w:rsidR="00000000" w:rsidRPr="00000000">
        <w:rPr>
          <w:rtl w:val="0"/>
        </w:rPr>
      </w:r>
    </w:p>
    <w:tbl>
      <w:tblPr>
        <w:tblStyle w:val="Table2"/>
        <w:tblW w:w="10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0"/>
        <w:gridCol w:w="3300"/>
        <w:gridCol w:w="6600"/>
        <w:tblGridChange w:id="0">
          <w:tblGrid>
            <w:gridCol w:w="500"/>
            <w:gridCol w:w="3300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Contribución verificable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Arancibia Ynga, Benjamin Francis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Carrión Oré, Shirley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Chavez Mendoza, Gabriel Omar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Mansilla Soto, Adrian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Paucarcaja Ramos, Jharolym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303030"/>
                <w:sz w:val="16"/>
                <w:szCs w:val="16"/>
                <w:rtl w:val="0"/>
              </w:rPr>
              <w:t xml:space="preserve">Quintainlla Huamanraime, Ballack Zidane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spacing w:after="100" w:before="20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Guion de la entrega y exposición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Incremento desde PC1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10" w:before="0" w:lineRule="auto"/>
        <w:jc w:val="left"/>
        <w:rPr/>
      </w:pPr>
      <w:r w:rsidDel="00000000" w:rsidR="00000000" w:rsidRPr="00000000">
        <w:rPr>
          <w:b w:val="0"/>
          <w:bCs w:val="0"/>
          <w:i w:val="1"/>
          <w:iCs w:val="1"/>
          <w:color w:val="303030"/>
          <w:sz w:val="20"/>
          <w:szCs w:val="20"/>
          <w:rtl w:val="0"/>
        </w:rPr>
        <w:t xml:space="preserve">Indiquen qué decisiones de PC1 se mantienen, cuáles se modifican y por qué.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1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color w:val="303030"/>
          <w:sz w:val="20"/>
          <w:szCs w:val="20"/>
          <w:rtl w:val="0"/>
        </w:rPr>
        <w:t xml:space="preserve">Completar aquí: 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Escenario comercial y transición CRM-ERP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10" w:before="0" w:lineRule="auto"/>
        <w:jc w:val="left"/>
        <w:rPr/>
      </w:pPr>
      <w:r w:rsidDel="00000000" w:rsidR="00000000" w:rsidRPr="00000000">
        <w:rPr>
          <w:b w:val="0"/>
          <w:bCs w:val="0"/>
          <w:i w:val="1"/>
          <w:iCs w:val="1"/>
          <w:color w:val="303030"/>
          <w:sz w:val="20"/>
          <w:szCs w:val="20"/>
          <w:rtl w:val="0"/>
        </w:rPr>
        <w:t xml:space="preserve">Describan marketing, CRM, cliente, lead, oportunidad y cotización; especifiquen la solicitud de creación de pedido y sus reglas o excepciones. No desarrollen facturación ni posventa.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1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color w:val="303030"/>
          <w:sz w:val="20"/>
          <w:szCs w:val="20"/>
          <w:rtl w:val="0"/>
        </w:rPr>
        <w:t xml:space="preserve">Completar aquí: 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Contrato de transición CRM-ERP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10" w:before="0" w:lineRule="auto"/>
        <w:jc w:val="left"/>
        <w:rPr/>
      </w:pPr>
      <w:r w:rsidDel="00000000" w:rsidR="00000000" w:rsidRPr="00000000">
        <w:rPr>
          <w:b w:val="0"/>
          <w:bCs w:val="0"/>
          <w:i w:val="1"/>
          <w:iCs w:val="1"/>
          <w:color w:val="303030"/>
          <w:sz w:val="20"/>
          <w:szCs w:val="20"/>
          <w:rtl w:val="0"/>
        </w:rPr>
        <w:t xml:space="preserve">Incluyan sistemas de registro, objetos y estados, eventos, datos mínimos, controles, respuestas o excepciones y responsables.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Aporte de Jharolym Paucarcaja Ramos · Arquitectura e interfaces · 16/10/2026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 base en S6, CRM conserva la relación comercial y Ventas evalúa el compromiso operativo. La propuesta usa cuatro módulos de Odoo y distingue el canal manual de los sistemas externos. La validación, aprobación y trazabilidad son funciones internas, pendientes de implementación.</w:t>
      </w:r>
    </w:p>
    <w:p w:rsidR="00000000" w:rsidDel="00000000" w:rsidP="00000000" w:rsidRDefault="00000000" w:rsidRPr="00000000" w14:paraId="00000037">
      <w:pPr>
        <w:keepNext w:val="1"/>
        <w:spacing w:after="55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Figura 1. Componentes Odoo, actores y continuidad externa de PC1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25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6583427"/>
            <wp:effectExtent b="0" l="0" r="0" t="0"/>
            <wp:docPr descr="CRM, Contactos, Ventas e Inventario dentro de Odoo. WhatsApp manual. Ventas devuelve estado y acción a CRM. Adaptador propio, UBLHUB y SUNAT como continuidad posterior a PC2." id="1" name="image1.png"/>
            <a:graphic>
              <a:graphicData uri="http://schemas.openxmlformats.org/drawingml/2006/picture">
                <pic:pic>
                  <pic:nvPicPr>
                    <pic:cNvPr descr="CRM, Contactos, Ventas e Inventario dentro de Odoo. WhatsApp manual. Ventas devuelve estado y acción a CRM. Adaptador propio, UBLHUB y SUNAT como continuidad posterior a PC2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3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Fuente: elaboración propia a partir de S6 y línea base PC1. Mismo diagrama del repositorio; flechas conceptuales, sin endpoints ni servicios instalados.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1"/>
        <w:pageBreakBefore w:val="1"/>
        <w:spacing w:after="70" w:before="120" w:lineRule="auto"/>
        <w:rPr/>
      </w:pPr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3.1. Componentes y responsabilidad sobre los datos</w:t>
      </w:r>
      <w:r w:rsidDel="00000000" w:rsidR="00000000" w:rsidRPr="00000000">
        <w:rPr>
          <w:rtl w:val="0"/>
        </w:rPr>
      </w:r>
    </w:p>
    <w:tbl>
      <w:tblPr>
        <w:tblStyle w:val="Table3"/>
        <w:tblW w:w="10206.0" w:type="dxa"/>
        <w:jc w:val="left"/>
        <w:tblInd w:w="7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1500"/>
        <w:gridCol w:w="4350"/>
        <w:gridCol w:w="4356"/>
        <w:tblGridChange w:id="0">
          <w:tblGrid>
            <w:gridCol w:w="1500"/>
            <w:gridCol w:w="4350"/>
            <w:gridCol w:w="4356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Módulo Odoo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Registro / 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Configuración y adaptación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crm.lead: lead, oportunidad, fuente/campaña y vendedor; seguimiento.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Etapas por configurar; retorno de decisión y tarea de atención propuestos.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res.partner: ficha única, identidad y canal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coincidencias y evidencia de finalidad/canal/vigencia.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sale.order y líneas: cotización, oferta, pago, promesa y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Cotización estándar; versión, aceptación y validación/aprobación específicas por desarrollar.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Disponibilidad por SKU, compañía y ubicación.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sin reserva, salida ni garantía de disponibilidad futura.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before="85" w:lineRule="auto"/>
        <w:rPr/>
      </w:pPr>
      <w:r w:rsidDel="00000000" w:rsidR="00000000" w:rsidRPr="00000000">
        <w:rPr>
          <w:rtl w:val="0"/>
        </w:rPr>
        <w:t xml:space="preserve">Fuera de Odoo. WhatsApp es un canal atendido por el vendedor, sin API automática. El adaptador Odoo–UBLHUB es integración propia propuesta; UBLHUB y SUNAT son sistemas externos. Su ruta discontinua corresponde a PC1 y queda fuera del tramo PC2. La API y el sandbox de emisión deberán validarse antes de implementar.</w:t>
      </w:r>
    </w:p>
    <w:p w:rsidR="00000000" w:rsidDel="00000000" w:rsidP="00000000" w:rsidRDefault="00000000" w:rsidRPr="00000000" w14:paraId="0000004B">
      <w:pPr>
        <w:pStyle w:val="Heading3"/>
        <w:keepNext w:val="1"/>
        <w:spacing w:after="70" w:before="120" w:lineRule="auto"/>
        <w:rPr/>
      </w:pPr>
      <w:bookmarkStart w:colFirst="0" w:colLast="0" w:name="_heading=h.j5jtodwr2yyv" w:id="0"/>
      <w:bookmarkEnd w:id="0"/>
      <w:r w:rsidDel="00000000" w:rsidR="00000000" w:rsidRPr="00000000">
        <w:rPr>
          <w:b w:val="1"/>
          <w:bCs w:val="1"/>
          <w:color w:val="303030"/>
          <w:sz w:val="20"/>
          <w:szCs w:val="20"/>
          <w:rtl w:val="0"/>
        </w:rPr>
        <w:t xml:space="preserve">3.2. Contratos del proceso e interfaces</w:t>
      </w:r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left"/>
        <w:tblInd w:w="7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550"/>
        <w:gridCol w:w="4450"/>
        <w:gridCol w:w="3206"/>
        <w:tblGridChange w:id="0">
          <w:tblGrid>
            <w:gridCol w:w="2550"/>
            <w:gridCol w:w="4450"/>
            <w:gridCol w:w="3206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Evento / 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Información 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/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Calificar y vincular cliente · I01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Fuente, necesidad, cliente único y canal autorizado; resolver coincidencias.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Oportunidad o revisión humana · Ventas.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Cotizar · I02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SKU/unidad, cantidad, precio, descuento, moneda, vigencia, versión, pago y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Cotización identificada; excepción autorizada · Ventas/Gerencia.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Solicitar evaluación · I03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Referencias de compañía, oportunidad, cliente, cotización/versión y aceptación; sesión autorizada e idempotencia.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Aceptar, rechazar, condicionar promesa o dejar pendiente · Ventas.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Retornar decisión · I08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Estado, causa, objeto, responsable, acción y plazo; guardar junto con decisión y eventos.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Seguimiento visible en CRM, sin cerrar oportunidad ni duplicar tarea · responsable asignado.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before="85" w:lineRule="auto"/>
        <w:rPr/>
      </w:pPr>
      <w:r w:rsidDel="00000000" w:rsidR="00000000" w:rsidRPr="00000000">
        <w:rPr>
          <w:rtl w:val="0"/>
        </w:rPr>
        <w:t xml:space="preserve">Funciones internas. I04 lee el snapshot comercial y aceptación; I05 consulta Inventario; I06 verifica la aprobación humana de Gerencia para esa versión/total; I07 autoriza y audita. I01–I08 describen operaciones conceptuales internas. El payload transmite referencias, no precios, stock, roles ni permisos libres.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Respuesta y recuperación. ACEPTADA valida la solicitud; en la simulación order_state=NO_CONFIRMADO y order_id=null. Una referencia de pedido futura exige confirmación explícita. DESCUENTO_SIN_APROBACION deja PENDIENTE_APROBACION con Gerencia; no pierde la oportunidad. Stock parcial propone cantidad/plazo, sin inventar reposición; falla técnica queda PENDIENTE y permite reanudar la misma solicitud.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Promesa y controles. El caso MYS supone contado, recojo local, fecha solicitada y evidencia sintética del canal. Toda excepción incluye causa, responsable, acción y plazo ilustrativo de 24 horas, pendiente de validar. Cambiar condiciones exige nueva versión/aceptación; los reintentos conservan decisión y una sola proyección CRM. Decisión, seguimiento y bitácora son atómicos en la prueba local.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Calibración y métricas S6. Andina conserva 1,000 solicitadas = 650 disponibles + 350 en reposición; no se inventan porcentaje, autoridad ni fecha. Sus cuatro escenarios y las dos métricas con fórmula/fuente/vacíos están en los anexos del repositorio. El detalle JSON/SQLite queda fuera de esta vista principal.</w:t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  <w:t xml:space="preserve">  </w:t>
      </w:r>
      <w:hyperlink r:id="rId8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Contrato 1.1, ocho interfaces, Andina, métricas y evidencias del grupo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1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Prueba del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10" w:before="0" w:lineRule="auto"/>
        <w:jc w:val="left"/>
        <w:rPr/>
      </w:pPr>
      <w:r w:rsidDel="00000000" w:rsidR="00000000" w:rsidRPr="00000000">
        <w:rPr>
          <w:b w:val="0"/>
          <w:bCs w:val="0"/>
          <w:i w:val="1"/>
          <w:iCs w:val="1"/>
          <w:color w:val="303030"/>
          <w:sz w:val="20"/>
          <w:szCs w:val="20"/>
          <w:rtl w:val="0"/>
        </w:rPr>
        <w:t xml:space="preserve">Documenten precondiciones, pasos, estado esperado, respuesta o excepción, resultado obtenido, evidencia y responsable o escalamiento.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1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color w:val="303030"/>
          <w:sz w:val="20"/>
          <w:szCs w:val="20"/>
          <w:rtl w:val="0"/>
        </w:rPr>
        <w:t xml:space="preserve">Completar aquí: 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Fuentes, límites y continuidad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10" w:before="0" w:lineRule="auto"/>
        <w:jc w:val="left"/>
        <w:rPr/>
      </w:pPr>
      <w:r w:rsidDel="00000000" w:rsidR="00000000" w:rsidRPr="00000000">
        <w:rPr>
          <w:b w:val="0"/>
          <w:bCs w:val="0"/>
          <w:i w:val="1"/>
          <w:iCs w:val="1"/>
          <w:color w:val="303030"/>
          <w:sz w:val="20"/>
          <w:szCs w:val="20"/>
          <w:rtl w:val="0"/>
        </w:rPr>
        <w:t xml:space="preserve">Declaren fuentes, supuestos, vacíos, uso de IA si corresponde y límites. Indiquen qué queda pendiente para pedido operativo, facturación, entrega y posventa. No se solicita un agente comercial.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1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color w:val="303030"/>
          <w:sz w:val="20"/>
          <w:szCs w:val="20"/>
          <w:rtl w:val="0"/>
        </w:rPr>
        <w:t xml:space="preserve">Completar aquí: 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00" w:before="20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Fuentes, uso de IA y declaración de límites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Aporte de Jharolym · Fuentes, límites, continuidad y uso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Base académica. GE703_S6_Presentacion.pdf: pp. 9 y 11 (frontera y transiciones), 14–19 (datos, promesa, excepción y retorno CRM), 21 (contratos antes de automatización), 25–30 (calibración Andina) y 31 (dos métricas). Se mantiene el cierre solicitud/respuesta de la rúbrica y la estructura de la plantilla PC2. Registro de fuentes y hashes: fuentes/pc2.md.</w:t>
      </w:r>
    </w:p>
    <w:p w:rsidR="00000000" w:rsidDel="00000000" w:rsidP="00000000" w:rsidRDefault="00000000" w:rsidRPr="00000000" w14:paraId="0000006A">
      <w:pPr>
        <w:spacing w:after="80" w:lineRule="auto"/>
        <w:rPr/>
      </w:pPr>
      <w:hyperlink r:id="rId9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F1. Odoo 19 · Sales quotations y vínculo con oportunidades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Rule="auto"/>
        <w:rPr/>
      </w:pPr>
      <w:hyperlink r:id="rId10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F2. Odoo 19 · Create quotations: oferta, oportunidad y confirmación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/>
      </w:pPr>
      <w:hyperlink r:id="rId11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F3. Odoo 19 · Forecasted report: disponibilidad e inventario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rPr/>
      </w:pPr>
      <w:hyperlink r:id="rId12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F4. Odoo 19 · Security in Odoo: permisos y reglas por registro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Atribución y alcance de fuentes. Documentación oficial contrastada el 15–16/10/2026; respalda capacidades y modelos, no una instalación ni políticas reales de MYS. El diagrama SVG/Mermaid es elaboración propia. UBLHUB se mantiene como selección de PC1; no se afirma haber validado su API ni la ruta tributaria.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Supuestos y evidencia. Cinco autoradios a S/400.00, descuento del vendedor hasta 5 %, normal con ocho disponibles y variante parcial con tres. Campaña, pago al contado, recojo local, fecha, evidencia del canal y atención en 24 horas son didácticos. Las 32 pruebas locales y validación formal de schemas verifican el contrato y retorno CRM con datos sintéticos; no acreditan Odoo, permisos reales, stock empresarial ni rendimiento. Las métricas carecen de valores operativos; el reloj fijo no mide latencia.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Límites y continuidad. Falta validar negocio, elegir versión/edición/alojamiento, configurar módulos, implementar las funciones mínimas y proteger cada vía de confirmación. Se requieren pruebas reales en Odoo/PostgreSQL. Pedido operativo, reservas, cobro, emisión mediante adaptador/UBLHUB, entrega y posventa quedan para incrementos posteriores.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IA y revisión humana. Codex (OpenAI) ayudó a analizar insumos, redactar arquitectura/contratos, construir el diagrama, ejecutar pruebas y editar el Word. Se usaron documentos académicos, fuentes públicas y fixtures sintéticas; sin datos personales de clientes, chats ni credenciales. No hubo agente comercial operativo. Jharolym revisará arquitectura y límites con Gabriel; los demás integrantes revisarán sus evidencias. La revisión sigue pendiente, sin atribuir aprobaciones ya realizadas.</w:t>
      </w:r>
    </w:p>
    <w:p w:rsidR="00000000" w:rsidDel="00000000" w:rsidP="00000000" w:rsidRDefault="00000000" w:rsidRPr="00000000" w14:paraId="00000072">
      <w:pPr>
        <w:pStyle w:val="Heading1"/>
        <w:spacing w:after="100" w:before="200" w:lineRule="auto"/>
        <w:rPr/>
      </w:pPr>
      <w:bookmarkStart w:colFirst="0" w:colLast="0" w:name="_heading=h.sixb3vq3lew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Fuentes, uso de IA y declaración de límites</w:t>
      </w:r>
      <w:r w:rsidDel="00000000" w:rsidR="00000000" w:rsidRPr="00000000">
        <w:rPr>
          <w:rtl w:val="0"/>
        </w:rPr>
      </w:r>
    </w:p>
    <w:sdt>
      <w:sdtPr>
        <w:lock w:val="contentLocked"/>
        <w:id w:val="1990138897"/>
        <w:tag w:val="goog_rdk_0"/>
      </w:sdtPr>
      <w:sdtContent>
        <w:tbl>
          <w:tblPr>
            <w:tblStyle w:val="Table5"/>
            <w:tblW w:w="104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3500"/>
            <w:gridCol w:w="6900"/>
            <w:tblGridChange w:id="0">
              <w:tblGrid>
                <w:gridCol w:w="3500"/>
                <w:gridCol w:w="69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70.0" w:type="dxa"/>
                  <w:left w:w="70.0" w:type="dxa"/>
                  <w:bottom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73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Elemento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70.0" w:type="dxa"/>
                  <w:left w:w="70.0" w:type="dxa"/>
                  <w:bottom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74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Registro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70.0" w:type="dxa"/>
                  <w:left w:w="70.0" w:type="dxa"/>
                  <w:bottom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75">
                <w:pPr>
                  <w:spacing w:after="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Fuentes y fecha de acceso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left w:w="70.0" w:type="dxa"/>
                  <w:bottom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76">
                <w:pPr>
                  <w:spacing w:after="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S6, plantilla/rúbrica y fuentes oficiales Odoo F1–F4. Fuentes/hashes en fuentes/pc2.md. Revisión del aporte: 16/10/2026.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70.0" w:type="dxa"/>
                  <w:left w:w="70.0" w:type="dxa"/>
                  <w:bottom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77">
                <w:pPr>
                  <w:spacing w:after="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Herramientas de IA usadas y propósito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left w:w="70.0" w:type="dxa"/>
                  <w:bottom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78">
                <w:pPr>
                  <w:spacing w:after="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Codex (OpenAI): análisis, redacción, diagrama técnico, simulación y edición del Word. Revisión humana pendiente; sin agente comercial operativo.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70.0" w:type="dxa"/>
                  <w:left w:w="70.0" w:type="dxa"/>
                  <w:bottom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79">
                <w:pPr>
                  <w:spacing w:after="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Datos sensibles excluidos o anonimizados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left w:w="70.0" w:type="dxa"/>
                  <w:bottom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7A">
                <w:pPr>
                  <w:spacing w:after="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Solo documentos del curso/proyecto, fuentes públicas y datos sintéticos. Sin datos personales de clientes, conversaciones reales ni credenciales.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70.0" w:type="dxa"/>
                  <w:left w:w="70.0" w:type="dxa"/>
                  <w:bottom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7B">
                <w:pPr>
                  <w:spacing w:after="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Límites, supuestos y pendientes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left w:w="70.0" w:type="dxa"/>
                  <w:bottom w:w="7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7C">
                <w:pPr>
                  <w:spacing w:after="0" w:lineRule="auto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Propuesta y pruebas locales Python/SQLite. Sin Odoo ni servicios externos ejecutados. Supuestos por validar; operación, facturación y posventa posteriores.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D">
      <w:pPr>
        <w:pStyle w:val="Heading1"/>
        <w:spacing w:after="100" w:before="200" w:lineRule="auto"/>
        <w:rPr/>
      </w:pPr>
      <w:bookmarkStart w:colFirst="0" w:colLast="0" w:name="_heading=h.hd3h4bnhbgf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100" w:before="20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1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color w:val="303030"/>
          <w:sz w:val="20"/>
          <w:szCs w:val="20"/>
          <w:rtl w:val="0"/>
        </w:rPr>
        <w:t xml:space="preserve">Antes de entregar, verifiquen que las afirmaciones sean rastreables, que el contrato pueda revisarse y que los dos expositores dominen las decisiones y los límites del alcance de sesión 6.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03030"/>
      </w:rPr>
    </w:rPrDefault>
    <w:pPrDefault>
      <w:pPr>
        <w:spacing w:after="11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0303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odoo.com/documentation/19.0/applications/inventory_and_mrp/inventory/warehouses_storage/reporting/forecast.html" TargetMode="External"/><Relationship Id="rId10" Type="http://schemas.openxmlformats.org/officeDocument/2006/relationships/hyperlink" Target="https://www.odoo.com/documentation/19.0/applications/sales/sales/sales_quotations/create_quotations.html" TargetMode="External"/><Relationship Id="rId12" Type="http://schemas.openxmlformats.org/officeDocument/2006/relationships/hyperlink" Target="https://www.odoo.com/documentation/19.0/developer/reference/backend/security.html" TargetMode="External"/><Relationship Id="rId9" Type="http://schemas.openxmlformats.org/officeDocument/2006/relationships/hyperlink" Target="https://www.odoo.com/documentation/19.0/applications/sales/sales/sales_quotations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jharopr/ERP-S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7c1CDg7nUuXb5RcFjL8oK+cY9w==">CgMxLjAaHwoBMBIaChgICVIUChJ0YWJsZS45enRpajZ5dGVjaHoyDmguajVqdG9kd3IyeXl2Mg5oLnNpeGIzdnEzbGV3bjIOaC5oZDNoNGJuaGJnZm44AHIhMTNVR21Oak1CYm9QNURudDVFcUlvUHY5S3laNmpqY3pw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2026-09-18T04:05:16.117Z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