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b/>
          <w:bCs/>
          <w:i w:val="false"/>
          <w:iCs w:val="false"/>
          <w:color w:val="000000"/>
          <w:sz w:val="18"/>
          <w:szCs w:val="18"/>
        </w:rPr>
        <w:t xml:space="preserve">UNI · FIIS</w:t>
      </w:r>
    </w:p>
    <w:p>
      <w:pPr>
        <w:pStyle w:val="Title"/>
        <w:spacing w:after="35"/>
      </w:pPr>
      <w:r>
        <w:rPr>
          <w:b/>
          <w:bCs/>
          <w:color w:val="000000"/>
          <w:sz w:val="32"/>
          <w:szCs w:val="32"/>
        </w:rPr>
        <w:t xml:space="preserve">Plantilla de entrega · PC2 · G7</w:t>
      </w:r>
    </w:p>
    <w:p>
      <w:pPr>
        <w:spacing w:after="180" w:before="0"/>
        <w:jc w:val="left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IMPORTACIONES MYS HERMANOS S.A.C. · GE703 · Sistemas Integrados Empresariales · 2026-2</w:t>
      </w:r>
    </w:p>
    <w:p>
      <w:pPr>
        <w:pStyle w:val="Heading1"/>
        <w:spacing w:after="100" w:before="200"/>
      </w:pPr>
      <w:r>
        <w:rPr>
          <w:b/>
          <w:bCs/>
          <w:color w:val="000000"/>
          <w:sz w:val="26"/>
          <w:szCs w:val="26"/>
        </w:rPr>
        <w:t xml:space="preserve">Identificación del incremento</w:t>
      </w:r>
    </w:p>
    <w:tbl>
      <w:tblPr>
        <w:tblW w:type="pct" w:w="100%"/>
        <w:tblBorders>
          <w:top w:val="single" w:color="D9D9D9"/>
          <w:left w:val="single" w:color="D9D9D9"/>
          <w:bottom w:val="single" w:color="D9D9D9"/>
          <w:right w:val="single" w:color="D9D9D9"/>
          <w:insideH w:val="single" w:color="D9D9D9"/>
          <w:insideV w:val="single" w:color="D9D9D9"/>
        </w:tblBorders>
      </w:tblPr>
      <w:tblGrid>
        <w:gridCol w:w="3500"/>
        <w:gridCol w:w="6900"/>
      </w:tblGrid>
      <w:tr>
        <w:tc>
          <w:tcPr>
            <w:tcW w:type="dxa" w:w="35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Campo</w:t>
            </w:r>
          </w:p>
        </w:tc>
        <w:tc>
          <w:tcPr>
            <w:tcW w:type="dxa" w:w="69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Registro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Grupo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G7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Empresa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IMPORTACIONES MYS HERMANOS S.A.C.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Fecha de exposición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17/10/2026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Versión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v2.1 · revisión S6 del aporte de Jharolym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Enlace al repositorio o paquete de evidencias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https://github.com/jharopr/ERP-SIE | documentos/pc2/README.md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Expositor/a 1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Expositor/a 2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00" w:before="200"/>
      </w:pPr>
      <w:r>
        <w:rPr>
          <w:b/>
          <w:bCs/>
          <w:color w:val="000000"/>
          <w:sz w:val="26"/>
          <w:szCs w:val="26"/>
        </w:rPr>
        <w:t xml:space="preserve">Integrantes y contribuciones</w:t>
      </w:r>
    </w:p>
    <w:p>
      <w:pPr>
        <w:spacing w:after="110" w:before="0"/>
        <w:jc w:val="left"/>
      </w:pPr>
      <w:r>
        <w:rPr>
          <w:b w:val="false"/>
          <w:bCs w:val="false"/>
          <w:i w:val="false"/>
          <w:iCs w:val="false"/>
          <w:color w:val="303030"/>
          <w:sz w:val="20"/>
          <w:szCs w:val="20"/>
        </w:rPr>
        <w:t xml:space="preserve">Registrar una contribución verificable por integrante: modelo, fuente, prueba, configuración, revisión o validación.</w:t>
      </w:r>
    </w:p>
    <w:tbl>
      <w:tblPr>
        <w:tblW w:type="pct" w:w="100%"/>
        <w:tblBorders>
          <w:top w:val="single" w:color="D9D9D9"/>
          <w:left w:val="single" w:color="D9D9D9"/>
          <w:bottom w:val="single" w:color="D9D9D9"/>
          <w:right w:val="single" w:color="D9D9D9"/>
          <w:insideH w:val="single" w:color="D9D9D9"/>
          <w:insideV w:val="single" w:color="D9D9D9"/>
        </w:tblBorders>
      </w:tblPr>
      <w:tblGrid>
        <w:gridCol w:w="500"/>
        <w:gridCol w:w="3300"/>
        <w:gridCol w:w="6600"/>
      </w:tblGrid>
      <w:tr>
        <w:tc>
          <w:tcPr>
            <w:tcW w:type="dxa" w:w="5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N°</w:t>
            </w:r>
          </w:p>
        </w:tc>
        <w:tc>
          <w:tcPr>
            <w:tcW w:type="dxa" w:w="33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Integrante</w:t>
            </w:r>
          </w:p>
        </w:tc>
        <w:tc>
          <w:tcPr>
            <w:tcW w:type="dxa" w:w="66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Contribución verificable</w:t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1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Arancibia Ynga, Benjamin Francis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2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Carrión Oré, Shirley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3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Chavez Mendoza, Gabriel Omar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4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Mansilla Soto, Adrian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5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Paucarcaja Ramos, Jharolym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Arquitectura de cuatro módulos Odoo y componentes externos; diagrama, interfaces I01–I08, retorno CRM, fuentes, límites e IA. Evidencia: arquitectura/crm-erp-pc2.md y contrato 1.1. Preparado con asistencia de IA; revisión humana pendiente.</w:t>
            </w:r>
          </w:p>
        </w:tc>
      </w:tr>
      <w:tr>
        <w:tc>
          <w:tcPr>
            <w:tcW w:type="dxa" w:w="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6</w:t>
            </w:r>
          </w:p>
        </w:tc>
        <w:tc>
          <w:tcPr>
            <w:tcW w:type="dxa" w:w="33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Quintainlla Huamanraime, Ballack Zidane</w:t>
            </w:r>
          </w:p>
        </w:tc>
        <w:tc>
          <w:tcPr>
            <w:tcW w:type="dxa" w:w="66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00" w:before="200"/>
      </w:pPr>
      <w:r>
        <w:rPr>
          <w:b/>
          <w:bCs/>
          <w:color w:val="000000"/>
          <w:sz w:val="26"/>
          <w:szCs w:val="26"/>
        </w:rPr>
        <w:t xml:space="preserve">Guion de la entrega y exposición</w:t>
      </w:r>
    </w:p>
    <w:p>
      <w:pPr>
        <w:pStyle w:val="Heading2"/>
        <w:spacing w:after="100" w:before="200"/>
      </w:pPr>
      <w:r>
        <w:rPr>
          <w:b/>
          <w:bCs/>
          <w:color w:val="000000"/>
          <w:sz w:val="22"/>
          <w:szCs w:val="22"/>
        </w:rPr>
        <w:t xml:space="preserve">1. Incremento desde PC1</w:t>
      </w:r>
    </w:p>
    <w:p>
      <w:pPr>
        <w:spacing w:after="110" w:before="0"/>
        <w:jc w:val="left"/>
      </w:pPr>
      <w:r>
        <w:rPr>
          <w:b w:val="false"/>
          <w:bCs w:val="false"/>
          <w:i/>
          <w:iCs/>
          <w:color w:val="303030"/>
          <w:sz w:val="20"/>
          <w:szCs w:val="20"/>
        </w:rPr>
        <w:t xml:space="preserve">Indiquen qué decisiones de PC1 se mantienen, cuáles se modifican y por qué.</w:t>
      </w:r>
    </w:p>
    <w:p>
      <w:pPr>
        <w:spacing w:after="110" w:before="0"/>
        <w:jc w:val="left"/>
      </w:pPr>
      <w:r>
        <w:rPr>
          <w:b w:val="false"/>
          <w:bCs w:val="false"/>
          <w:i w:val="false"/>
          <w:iCs w:val="false"/>
          <w:color w:val="303030"/>
          <w:sz w:val="20"/>
          <w:szCs w:val="20"/>
        </w:rPr>
        <w:t xml:space="preserve">Completar aquí: ______________________________________________________________________________________________</w:t>
      </w:r>
    </w:p>
    <w:p>
      <w:pPr>
        <w:pStyle w:val="Heading2"/>
        <w:spacing w:after="100" w:before="200"/>
      </w:pPr>
      <w:r>
        <w:rPr>
          <w:b/>
          <w:bCs/>
          <w:color w:val="000000"/>
          <w:sz w:val="22"/>
          <w:szCs w:val="22"/>
        </w:rPr>
        <w:t>2. Escenario comercial y transición CRM-ERP</w:t>
      </w:r>
    </w:p>
    <w:p>
      <w:pPr>
        <w:spacing w:after="110" w:before="0"/>
        <w:jc w:val="left"/>
      </w:pPr>
      <w:r>
        <w:rPr>
          <w:b w:val="false"/>
          <w:bCs w:val="false"/>
          <w:i/>
          <w:iCs/>
          <w:color w:val="303030"/>
          <w:sz w:val="20"/>
          <w:szCs w:val="20"/>
        </w:rPr>
        <w:t>Describan marketing, CRM, cliente, lead, oportunidad y cotización; especifiquen la solicitud de creación de pedido y sus reglas o excepciones. No desarrollen facturación ni posventa.</w:t>
      </w:r>
    </w:p>
    <w:p>
      <w:pPr>
        <w:spacing w:after="110" w:before="0"/>
        <w:jc w:val="left"/>
      </w:pPr>
      <w:r>
        <w:rPr>
          <w:b w:val="false"/>
          <w:bCs w:val="false"/>
          <w:i w:val="false"/>
          <w:iCs w:val="false"/>
          <w:color w:val="303030"/>
          <w:sz w:val="20"/>
          <w:szCs w:val="20"/>
        </w:rPr>
        <w:t xml:space="preserve">Completar aquí: ______________________________________________________________________________________________</w:t>
      </w:r>
    </w:p>
    <w:p>
      <w:pPr>
        <w:pStyle w:val="Heading2"/>
        <w:spacing w:after="100" w:before="200"/>
        <w:pageBreakBefore/>
      </w:pPr>
      <w:r>
        <w:rPr>
          <w:b/>
          <w:bCs/>
          <w:color w:val="000000"/>
          <w:sz w:val="22"/>
          <w:szCs w:val="22"/>
        </w:rPr>
        <w:t>3. Contrato de transición CRM-ERP</w:t>
      </w:r>
    </w:p>
    <w:p>
      <w:pPr>
        <w:spacing w:after="110" w:before="0"/>
        <w:jc w:val="left"/>
      </w:pPr>
      <w:r>
        <w:rPr>
          <w:b w:val="false"/>
          <w:bCs w:val="false"/>
          <w:i/>
          <w:iCs/>
          <w:color w:val="303030"/>
          <w:sz w:val="20"/>
          <w:szCs w:val="20"/>
        </w:rPr>
        <w:t>Incluyan sistemas de registro, objetos y estados, eventos, datos mínimos, controles, respuestas o excepciones y responsables.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  <w:b/>
        </w:rPr>
        <w:t xml:space="preserve">Aporte de Jharolym Paucarcaja Ramos · Arquitectura e interfaces · 16/10/2026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Con base en S6, CRM conserva la relación comercial y Ventas evalúa el compromiso operativo. La propuesta usa cuatro módulos de Odoo y distingue el canal manual de los sistemas externos. La validación, aprobación y trazabilidad son funciones internas, pendientes de implementación.</w:t>
      </w:r>
    </w:p>
    <w:p>
      <w:pPr>
        <w:spacing w:before="0" w:after="55"/>
        <w:jc w:val="left"/>
        <w:keepNext/>
      </w:pPr>
      <w:r>
        <w:rPr>
          <w:rFonts w:ascii="Arial" w:hAnsi="Arial" w:eastAsia="Arial" w:cs="Arial"/>
          <w:color w:val="303030"/>
          <w:sz w:val="18"/>
          <w:szCs w:val="18"/>
          <w:b/>
        </w:rPr>
        <w:t xml:space="preserve">Figura 1. Componentes Odoo, actores y continuidad externa de PC1</w:t>
      </w:r>
    </w:p>
    <w:p xmlns:mo="http://schemas.microsoft.com/office/mac/office/2008/main" xmlns:mv="urn:schemas-microsoft-com:mac:vml">
      <w:pPr>
        <w:jc w:val="center"/>
        <w:spacing w:after="25"/>
        <w:keepNext/>
      </w:pPr>
      <w:r>
        <w:drawing>
          <wp:inline xmlns:a="http://schemas.openxmlformats.org/drawingml/2006/main" xmlns:pic="http://schemas.openxmlformats.org/drawingml/2006/picture">
            <wp:extent cx="5943600" cy="6583427"/>
            <wp:docPr id="1" name="Picture 1" descr="CRM, Contactos, Ventas e Inventario dentro de Odoo. WhatsApp manual. Ventas devuelve estado y acción a CRM. Adaptador propio, UBLHUB y SUNAT como continuidad posterior a PC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-s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3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left"/>
      </w:pPr>
      <w:r>
        <w:rPr>
          <w:rFonts w:ascii="Arial" w:hAnsi="Arial" w:eastAsia="Arial" w:cs="Arial"/>
          <w:color w:val="303030"/>
          <w:sz w:val="16"/>
          <w:szCs w:val="16"/>
        </w:rPr>
        <w:t xml:space="preserve">Fuente: elaboración propia a partir de S6 y línea base PC1. Mismo diagrama del repositorio; flechas conceptuales, sin endpoints ni servicios instalados.</w:t>
      </w:r>
    </w:p>
    <w:p>
      <w:pPr>
        <w:pStyle w:val="Heading3"/>
        <w:spacing w:before="120" w:after="70"/>
        <w:jc w:val="left"/>
        <w:keepNext/>
        <w:pageBreakBefore/>
      </w:pPr>
      <w:r>
        <w:rPr>
          <w:rFonts w:ascii="Arial" w:hAnsi="Arial" w:eastAsia="Arial" w:cs="Arial"/>
          <w:color w:val="303030"/>
          <w:sz w:val="20"/>
          <w:szCs w:val="20"/>
          <w:b/>
        </w:rPr>
        <w:t xml:space="preserve">3.1. Componentes y responsabilidad sobre los datos</w:t>
      </w:r>
    </w:p>
    <w:tbl>
      <w:tblPr>
        <w:tblW w:w="10206" w:type="dxa"/>
        <w:tblInd w:w="7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1500"/>
        <w:gridCol w:w="4350"/>
        <w:gridCol w:w="4356"/>
      </w:tblGrid>
      <w:tr>
        <w:trPr>
          <w:cantSplit/>
          <w:tblHeader/>
        </w:trPr>
        <w:tc>
          <w:tcPr>
            <w:tcW w:w="15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Módulo Odoo</w:t>
            </w:r>
          </w:p>
        </w:tc>
        <w:tc>
          <w:tcPr>
            <w:tcW w:w="43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Registro / responsabilidad</w:t>
            </w:r>
          </w:p>
        </w:tc>
        <w:tc>
          <w:tcPr>
            <w:tcW w:w="435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Configuración y adaptación</w:t>
            </w:r>
          </w:p>
        </w:tc>
      </w:tr>
      <w:tr>
        <w:trPr>
          <w:cantSplit/>
        </w:trPr>
        <w:tc>
          <w:tcPr>
            <w:tcW w:w="15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CRM</w:t>
            </w:r>
          </w:p>
        </w:tc>
        <w:tc>
          <w:tcPr>
            <w:tcW w:w="43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crm.lead: lead, oportunidad, fuente/campaña y vendedor; seguimiento.</w:t>
            </w:r>
          </w:p>
        </w:tc>
        <w:tc>
          <w:tcPr>
            <w:tcW w:w="435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Etapas por configurar; retorno de decisión y tarea de atención propuestos.</w:t>
            </w:r>
          </w:p>
        </w:tc>
      </w:tr>
      <w:tr>
        <w:trPr>
          <w:cantSplit/>
        </w:trPr>
        <w:tc>
          <w:tcPr>
            <w:tcW w:w="15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Contactos</w:t>
            </w:r>
          </w:p>
        </w:tc>
        <w:tc>
          <w:tcPr>
            <w:tcW w:w="43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res.partner: ficha única, identidad y canal autorizado.</w:t>
            </w:r>
          </w:p>
        </w:tc>
        <w:tc>
          <w:tcPr>
            <w:tcW w:w="435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Revisar coincidencias y evidencia de finalidad/canal/vigencia.</w:t>
            </w:r>
          </w:p>
        </w:tc>
      </w:tr>
      <w:tr>
        <w:trPr>
          <w:cantSplit/>
        </w:trPr>
        <w:tc>
          <w:tcPr>
            <w:tcW w:w="15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Ventas</w:t>
            </w:r>
          </w:p>
        </w:tc>
        <w:tc>
          <w:tcPr>
            <w:tcW w:w="43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sale.order y líneas: cotización, oferta, pago, promesa y solicitud.</w:t>
            </w:r>
          </w:p>
        </w:tc>
        <w:tc>
          <w:tcPr>
            <w:tcW w:w="435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Cotización estándar; versión, aceptación y validación/aprobación específicas por desarrollar.</w:t>
            </w:r>
          </w:p>
        </w:tc>
      </w:tr>
      <w:tr>
        <w:trPr>
          <w:cantSplit/>
        </w:trPr>
        <w:tc>
          <w:tcPr>
            <w:tcW w:w="15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Inventario</w:t>
            </w:r>
          </w:p>
        </w:tc>
        <w:tc>
          <w:tcPr>
            <w:tcW w:w="43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Disponibilidad por SKU, compañía y ubicación.</w:t>
            </w:r>
          </w:p>
        </w:tc>
        <w:tc>
          <w:tcPr>
            <w:tcW w:w="435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Consulta sin reserva, salida ni garantía de disponibilidad futura.</w:t>
            </w:r>
          </w:p>
        </w:tc>
      </w:tr>
    </w:tbl>
    <w:p>
      <w:pPr>
        <w:spacing w:before="85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Fuera de Odoo. WhatsApp es un canal atendido por el vendedor, sin API automática. El adaptador Odoo–UBLHUB es integración propia propuesta; UBLHUB y SUNAT son sistemas externos. Su ruta discontinua corresponde a PC1 y queda fuera del tramo PC2. La API y el sandbox de emisión deberán validarse antes de implementar.</w:t>
      </w:r>
    </w:p>
    <w:p>
      <w:pPr>
        <w:pStyle w:val="Heading3"/>
        <w:spacing w:before="120" w:after="70"/>
        <w:jc w:val="left"/>
        <w:keepNext/>
      </w:pPr>
      <w:r>
        <w:rPr>
          <w:rFonts w:ascii="Arial" w:hAnsi="Arial" w:eastAsia="Arial" w:cs="Arial"/>
          <w:color w:val="303030"/>
          <w:sz w:val="20"/>
          <w:szCs w:val="20"/>
          <w:b/>
        </w:rPr>
        <w:t xml:space="preserve">3.2. Contratos del proceso e interfaces</w:t>
      </w:r>
    </w:p>
    <w:tbl>
      <w:tblPr>
        <w:tblW w:w="10206" w:type="dxa"/>
        <w:tblInd w:w="7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2550"/>
        <w:gridCol w:w="4450"/>
        <w:gridCol w:w="3206"/>
      </w:tblGrid>
      <w:tr>
        <w:trPr>
          <w:cantSplit/>
          <w:tblHeader/>
        </w:trPr>
        <w:tc>
          <w:tcPr>
            <w:tcW w:w="25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Evento / interfaz</w:t>
            </w:r>
          </w:p>
        </w:tc>
        <w:tc>
          <w:tcPr>
            <w:tcW w:w="44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Información y control</w:t>
            </w:r>
          </w:p>
        </w:tc>
        <w:tc>
          <w:tcPr>
            <w:tcW w:w="320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shd w:val="clear" w:fill="F2F2F2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  <w:b/>
              </w:rPr>
              <w:t xml:space="preserve">Resultado / responsable</w:t>
            </w:r>
          </w:p>
        </w:tc>
      </w:tr>
      <w:tr>
        <w:trPr>
          <w:cantSplit/>
        </w:trPr>
        <w:tc>
          <w:tcPr>
            <w:tcW w:w="25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Calificar y vincular cliente · I01</w:t>
            </w:r>
          </w:p>
        </w:tc>
        <w:tc>
          <w:tcPr>
            <w:tcW w:w="44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Fuente, necesidad, cliente único y canal autorizado; resolver coincidencias.</w:t>
            </w:r>
          </w:p>
        </w:tc>
        <w:tc>
          <w:tcPr>
            <w:tcW w:w="320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Oportunidad o revisión humana · Ventas.</w:t>
            </w:r>
          </w:p>
        </w:tc>
      </w:tr>
      <w:tr>
        <w:trPr>
          <w:cantSplit/>
        </w:trPr>
        <w:tc>
          <w:tcPr>
            <w:tcW w:w="25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Cotizar · I02</w:t>
            </w:r>
          </w:p>
        </w:tc>
        <w:tc>
          <w:tcPr>
            <w:tcW w:w="44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SKU/unidad, cantidad, precio, descuento, moneda, vigencia, versión, pago y entrega.</w:t>
            </w:r>
          </w:p>
        </w:tc>
        <w:tc>
          <w:tcPr>
            <w:tcW w:w="320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Cotización identificada; excepción autorizada · Ventas/Gerencia.</w:t>
            </w:r>
          </w:p>
        </w:tc>
      </w:tr>
      <w:tr>
        <w:trPr>
          <w:cantSplit/>
        </w:trPr>
        <w:tc>
          <w:tcPr>
            <w:tcW w:w="25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Solicitar evaluación · I03</w:t>
            </w:r>
          </w:p>
        </w:tc>
        <w:tc>
          <w:tcPr>
            <w:tcW w:w="44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Referencias de compañía, oportunidad, cliente, cotización/versión y aceptación; sesión autorizada e idempotencia.</w:t>
            </w:r>
          </w:p>
        </w:tc>
        <w:tc>
          <w:tcPr>
            <w:tcW w:w="320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Aceptar, rechazar, condicionar promesa o dejar pendiente · Ventas.</w:t>
            </w:r>
          </w:p>
        </w:tc>
      </w:tr>
      <w:tr>
        <w:trPr>
          <w:cantSplit/>
        </w:trPr>
        <w:tc>
          <w:tcPr>
            <w:tcW w:w="25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Retornar decisión · I08</w:t>
            </w:r>
          </w:p>
        </w:tc>
        <w:tc>
          <w:tcPr>
            <w:tcW w:w="44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Estado, causa, objeto, responsable, acción y plazo; guardar junto con decisión y eventos.</w:t>
            </w:r>
          </w:p>
        </w:tc>
        <w:tc>
          <w:tcPr>
            <w:tcW w:w="320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303030"/>
                <w:sz w:val="18"/>
                <w:szCs w:val="18"/>
              </w:rPr>
              <w:t xml:space="preserve">Seguimiento visible en CRM, sin cerrar oportunidad ni duplicar tarea · responsable asignado.</w:t>
            </w:r>
          </w:p>
        </w:tc>
      </w:tr>
    </w:tbl>
    <w:p>
      <w:pPr>
        <w:spacing w:before="85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Funciones internas. I04 lee el snapshot comercial y aceptación; I05 consulta Inventario; I06 verifica la aprobación humana de Gerencia para esa versión/total; I07 autoriza y audita. I01–I08 describen operaciones conceptuales internas. El payload transmite referencias, no precios, stock, roles ni permisos libres.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Respuesta y recuperación. ACEPTADA valida la solicitud; en la simulación order_state=NO_CONFIRMADO y order_id=null. Una referencia de pedido futura exige confirmación explícita. DESCUENTO_SIN_APROBACION deja PENDIENTE_APROBACION con Gerencia; no pierde la oportunidad. Stock parcial propone cantidad/plazo, sin inventar reposición; falla técnica queda PENDIENTE y permite reanudar la misma solicitud.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Promesa y controles. El caso MYS supone contado, recojo local, fecha solicitada y evidencia sintética del canal. Toda excepción incluye causa, responsable, acción y plazo ilustrativo de 24 horas, pendiente de validar. Cambiar condiciones exige nueva versión/aceptación; los reintentos conservan decisión y una sola proyección CRM. Decisión, seguimiento y bitácora son atómicos en la prueba local.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Calibración y métricas S6. Andina conserva 1,000 solicitadas = 650 disponibles + 350 en reposición; no se inventan porcentaje, autoridad ni fecha. Sus cuatro escenarios y las dos métricas con fórmula/fuente/vacíos están en los anexos del repositorio. El detalle JSON/SQLite queda fuera de esta vista principal.</w:t>
      </w:r>
    </w:p>
    <w:p>
      <w:pPr>
        <w:spacing w:before="0" w:after="80"/>
        <w:jc w:val="left"/>
      </w:pPr>
      <w:hyperlink r:id="rId9">
        <w:r>
          <w:rPr>
            <w:rStyle w:val="Hyperlink"/>
            <w:sz w:val="18"/>
          </w:rPr>
          <w:t>Contrato 1.1, ocho interfaces, Andina, métricas y evidencias del grupo</w:t>
        </w:r>
      </w:hyperlink>
    </w:p>
    <w:p>
      <w:pPr>
        <w:pStyle w:val="Heading2"/>
        <w:spacing w:after="100" w:before="200"/>
      </w:pPr>
      <w:r>
        <w:rPr>
          <w:b/>
          <w:bCs/>
          <w:color w:val="000000"/>
          <w:sz w:val="22"/>
          <w:szCs w:val="22"/>
        </w:rPr>
        <w:t>4. Prueba del contrato</w:t>
      </w:r>
    </w:p>
    <w:p>
      <w:pPr>
        <w:spacing w:after="110" w:before="0"/>
        <w:jc w:val="left"/>
      </w:pPr>
      <w:r>
        <w:rPr>
          <w:b w:val="false"/>
          <w:bCs w:val="false"/>
          <w:i/>
          <w:iCs/>
          <w:color w:val="303030"/>
          <w:sz w:val="20"/>
          <w:szCs w:val="20"/>
        </w:rPr>
        <w:t>Documenten precondiciones, pasos, estado esperado, respuesta o excepción, resultado obtenido, evidencia y responsable o escalamiento.</w:t>
      </w:r>
    </w:p>
    <w:p>
      <w:pPr>
        <w:spacing w:after="110" w:before="0"/>
        <w:jc w:val="left"/>
      </w:pPr>
      <w:r>
        <w:rPr>
          <w:b w:val="false"/>
          <w:bCs w:val="false"/>
          <w:i w:val="false"/>
          <w:iCs w:val="false"/>
          <w:color w:val="303030"/>
          <w:sz w:val="20"/>
          <w:szCs w:val="20"/>
        </w:rPr>
        <w:t xml:space="preserve">Completar aquí: ______________________________________________________________________________________________</w:t>
      </w:r>
    </w:p>
    <w:p>
      <w:pPr>
        <w:pStyle w:val="Heading2"/>
        <w:spacing w:after="100" w:before="200"/>
        <w:pageBreakBefore/>
      </w:pPr>
      <w:r>
        <w:rPr>
          <w:b/>
          <w:bCs/>
          <w:color w:val="000000"/>
          <w:sz w:val="22"/>
          <w:szCs w:val="22"/>
        </w:rPr>
        <w:t>5. Fuentes, límites y continuidad</w:t>
      </w:r>
    </w:p>
    <w:p>
      <w:pPr>
        <w:spacing w:after="110" w:before="0"/>
        <w:jc w:val="left"/>
      </w:pPr>
      <w:r>
        <w:rPr>
          <w:b w:val="false"/>
          <w:bCs w:val="false"/>
          <w:i/>
          <w:iCs/>
          <w:color w:val="303030"/>
          <w:sz w:val="20"/>
          <w:szCs w:val="20"/>
        </w:rPr>
        <w:t>Declaren fuentes, supuestos, vacíos, uso de IA si corresponde y límites. Indiquen qué queda pendiente para pedido operativo, facturación, entrega y posventa. No se solicita un agente comercial.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  <w:b/>
        </w:rPr>
        <w:t xml:space="preserve">Aporte de Jharolym · Fuentes, límites, continuidad y uso de IA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Base académica. GE703_S6_Presentacion.pdf: pp. 9 y 11 (frontera y transiciones), 14–19 (datos, promesa, excepción y retorno CRM), 21 (contratos antes de automatización), 25–30 (calibración Andina) y 31 (dos métricas). Se mantiene el cierre solicitud/respuesta de la rúbrica y la estructura de la plantilla PC2. Registro de fuentes y hashes: fuentes/pc2.md.</w:t>
      </w:r>
    </w:p>
    <w:p>
      <w:pPr>
        <w:spacing w:before="0" w:after="80"/>
        <w:jc w:val="left"/>
      </w:pPr>
      <w:hyperlink r:id="rId10">
        <w:r>
          <w:rPr>
            <w:rStyle w:val="Hyperlink"/>
            <w:sz w:val="18"/>
          </w:rPr>
          <w:t>F1. Odoo 19 · Sales quotations y vínculo con oportunidades</w:t>
        </w:r>
      </w:hyperlink>
    </w:p>
    <w:p>
      <w:pPr>
        <w:spacing w:before="0" w:after="80"/>
        <w:jc w:val="left"/>
      </w:pPr>
      <w:hyperlink r:id="rId11">
        <w:r>
          <w:rPr>
            <w:rStyle w:val="Hyperlink"/>
            <w:sz w:val="18"/>
          </w:rPr>
          <w:t>F2. Odoo 19 · Create quotations: oferta, oportunidad y confirmación</w:t>
        </w:r>
      </w:hyperlink>
    </w:p>
    <w:p>
      <w:pPr>
        <w:spacing w:before="0" w:after="80"/>
        <w:jc w:val="left"/>
      </w:pPr>
      <w:hyperlink r:id="rId12">
        <w:r>
          <w:rPr>
            <w:rStyle w:val="Hyperlink"/>
            <w:sz w:val="18"/>
          </w:rPr>
          <w:t>F3. Odoo 19 · Forecasted report: disponibilidad e inventario</w:t>
        </w:r>
      </w:hyperlink>
    </w:p>
    <w:p>
      <w:pPr>
        <w:spacing w:before="0" w:after="80"/>
        <w:jc w:val="left"/>
      </w:pPr>
      <w:hyperlink r:id="rId13">
        <w:r>
          <w:rPr>
            <w:rStyle w:val="Hyperlink"/>
            <w:sz w:val="18"/>
          </w:rPr>
          <w:t>F4. Odoo 19 · Security in Odoo: permisos y reglas por registro</w:t>
        </w:r>
      </w:hyperlink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Atribución y alcance de fuentes. Documentación oficial contrastada el 15–16/10/2026; respalda capacidades y modelos, no una instalación ni políticas reales de MYS. El diagrama SVG/Mermaid es elaboración propia. UBLHUB se mantiene como selección de PC1; no se afirma haber validado su API ni la ruta tributaria.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Supuestos y evidencia. Cinco autoradios a S/400.00, descuento del vendedor hasta 5 %, normal con ocho disponibles y variante parcial con tres. Campaña, pago al contado, recojo local, fecha, evidencia del canal y atención en 24 horas son didácticos. Las 32 pruebas locales y validación formal de schemas verifican el contrato y retorno CRM con datos sintéticos; no acreditan Odoo, permisos reales, stock empresarial ni rendimiento. Las métricas carecen de valores operativos; el reloj fijo no mide latencia.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Límites y continuidad. Falta validar negocio, elegir versión/edición/alojamiento, configurar módulos, implementar las funciones mínimas y proteger cada vía de confirmación. Se requieren pruebas reales en Odoo/PostgreSQL. Pedido operativo, reservas, cobro, emisión mediante adaptador/UBLHUB, entrega y posventa quedan para incrementos posteriores.</w:t>
      </w:r>
    </w:p>
    <w:p>
      <w:pPr>
        <w:spacing w:before="0" w:after="110"/>
        <w:jc w:val="left"/>
      </w:pPr>
      <w:r>
        <w:rPr>
          <w:rFonts w:ascii="Arial" w:hAnsi="Arial" w:eastAsia="Arial" w:cs="Arial"/>
          <w:color w:val="303030"/>
          <w:sz w:val="20"/>
          <w:szCs w:val="20"/>
        </w:rPr>
        <w:t xml:space="preserve">IA y revisión humana. Codex (OpenAI) ayudó a analizar insumos, redactar arquitectura/contratos, construir el diagrama, ejecutar pruebas y editar el Word. Se usaron documentos académicos, fuentes públicas y fixtures sintéticas; sin datos personales de clientes, chats ni credenciales. No hubo agente comercial operativo. Jharolym revisará arquitectura y límites con Gabriel; los demás integrantes revisarán sus evidencias. La revisión sigue pendiente, sin atribuir aprobaciones ya realizadas.</w:t>
      </w:r>
    </w:p>
    <w:p>
      <w:pPr>
        <w:pStyle w:val="Heading1"/>
        <w:spacing w:after="100" w:before="200"/>
      </w:pPr>
      <w:r>
        <w:rPr>
          <w:b/>
          <w:bCs/>
          <w:color w:val="000000"/>
          <w:sz w:val="26"/>
          <w:szCs w:val="26"/>
        </w:rPr>
        <w:t xml:space="preserve">Fuentes, uso de IA y declaración de límites</w:t>
      </w:r>
    </w:p>
    <w:tbl>
      <w:tblPr>
        <w:tblW w:type="pct" w:w="100%"/>
        <w:tblBorders>
          <w:top w:val="single" w:color="D9D9D9"/>
          <w:left w:val="single" w:color="D9D9D9"/>
          <w:bottom w:val="single" w:color="D9D9D9"/>
          <w:right w:val="single" w:color="D9D9D9"/>
          <w:insideH w:val="single" w:color="D9D9D9"/>
          <w:insideV w:val="single" w:color="D9D9D9"/>
        </w:tblBorders>
      </w:tblPr>
      <w:tblGrid>
        <w:gridCol w:w="3500"/>
        <w:gridCol w:w="6900"/>
      </w:tblGrid>
      <w:tr>
        <w:tc>
          <w:tcPr>
            <w:tcW w:type="dxa" w:w="35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Elemento</w:t>
            </w:r>
          </w:p>
        </w:tc>
        <w:tc>
          <w:tcPr>
            <w:tcW w:type="dxa" w:w="6900"/>
            <w:shd w:color="F2F2F2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303030"/>
                <w:sz w:val="16"/>
                <w:szCs w:val="16"/>
              </w:rPr>
              <w:t xml:space="preserve">Registro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Fuentes y fecha de acceso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S6, plantilla/rúbrica y fuentes oficiales Odoo F1–F4. Fuentes/hashes en fuentes/pc2.md. Revisión del aporte: 16/10/2026.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Herramientas de IA usadas y propósito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Codex (OpenAI): análisis, redacción, diagrama técnico, simulación y edición del Word. Revisión humana pendiente; sin agente comercial operativo.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Datos sensibles excluidos o anonimizados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Solo documentos del curso/proyecto, fuentes públicas y datos sintéticos. Sin datos personales de clientes, conversaciones reales ni credenciales.</w:t>
            </w:r>
          </w:p>
        </w:tc>
      </w:tr>
      <w:tr>
        <w:tc>
          <w:tcPr>
            <w:tcW w:type="dxa" w:w="35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Límites, supuestos y pendientes</w:t>
            </w:r>
          </w:p>
        </w:tc>
        <w:tc>
          <w:tcPr>
            <w:tcW w:type="dxa" w:w="6900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03030"/>
                <w:sz w:val="16"/>
                <w:szCs w:val="16"/>
              </w:rPr>
              <w:t xml:space="preserve">Propuesta y pruebas locales Python/SQLite. Sin Odoo ni servicios externos ejecutados. Supuestos por validar; operación, facturación y posventa posteriores.</w:t>
            </w:r>
          </w:p>
        </w:tc>
      </w:tr>
    </w:tbl>
    <w:p>
      <w:pPr>
        <w:pStyle w:val="Heading1"/>
        <w:spacing w:after="100" w:before="200"/>
      </w:pPr>
      <w:r>
        <w:rPr>
          <w:b/>
          <w:bCs/>
          <w:color w:val="000000"/>
          <w:sz w:val="26"/>
          <w:szCs w:val="26"/>
        </w:rPr>
        <w:t xml:space="preserve">Cierre</w:t>
      </w:r>
    </w:p>
    <w:p>
      <w:pPr>
        <w:spacing w:after="110" w:before="0"/>
        <w:jc w:val="left"/>
      </w:pPr>
      <w:r>
        <w:rPr>
          <w:b w:val="false"/>
          <w:bCs w:val="false"/>
          <w:i w:val="false"/>
          <w:iCs w:val="false"/>
          <w:color w:val="303030"/>
          <w:sz w:val="20"/>
          <w:szCs w:val="20"/>
        </w:rPr>
        <w:t>Antes de entregar, verifiquen que las afirmaciones sean rastreables, que el contrato pueda revisarse y que los dos expositores dominen las decisiones y los límites del alcance de sesión 6.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03030"/>
        <w:sz w:val="20"/>
        <w:szCs w:val="20"/>
      </w:rPr>
    </w:rPrDefault>
    <w:pPrDefault>
      <w:pPr>
        <w:spacing w:after="1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componentes-pc2.png"/><Relationship Id="rId9" Type="http://schemas.openxmlformats.org/officeDocument/2006/relationships/hyperlink" Target="https://github.com/jharopr/ERP-SIE" TargetMode="External"/><Relationship Id="rId10" Type="http://schemas.openxmlformats.org/officeDocument/2006/relationships/hyperlink" Target="https://www.odoo.com/documentation/19.0/applications/sales/sales/sales_quotations.html" TargetMode="External"/><Relationship Id="rId11" Type="http://schemas.openxmlformats.org/officeDocument/2006/relationships/hyperlink" Target="https://www.odoo.com/documentation/19.0/applications/sales/sales/sales_quotations/create_quotations.html" TargetMode="External"/><Relationship Id="rId12" Type="http://schemas.openxmlformats.org/officeDocument/2006/relationships/hyperlink" Target="https://www.odoo.com/documentation/19.0/applications/inventory_and_mrp/inventory/warehouses_storage/reporting/forecast.html" TargetMode="External"/><Relationship Id="rId13" Type="http://schemas.openxmlformats.org/officeDocument/2006/relationships/hyperlink" Target="https://www.odoo.com/documentation/19.0/developer/reference/backend/security.htm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2026-09-18T04:05:16.117Z</dcterms:created>
  <dcterms:modified xsi:type="dcterms:W3CDTF">2026-09-18T04:05:16.117Z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