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b/>
          <w:bCs/>
          <w:i w:val="false"/>
          <w:iCs w:val="false"/>
          <w:color w:val="000000"/>
          <w:sz w:val="18"/>
          <w:szCs w:val="18"/>
        </w:rPr>
        <w:t xml:space="preserve">UNI · FIIS</w:t>
      </w:r>
    </w:p>
    <w:p>
      <w:pPr>
        <w:pStyle w:val="Title"/>
        <w:spacing w:after="35"/>
      </w:pPr>
      <w:r>
        <w:rPr>
          <w:b/>
          <w:bCs/>
          <w:color w:val="000000"/>
          <w:sz w:val="32"/>
          <w:szCs w:val="32"/>
        </w:rPr>
        <w:t xml:space="preserve">Plantilla de entrega · PC2 · G7</w:t>
      </w:r>
    </w:p>
    <w:p>
      <w:pPr>
        <w:spacing w:after="180" w:before="0"/>
        <w:jc w:val="left"/>
      </w:pPr>
      <w:r>
        <w:rPr>
          <w:b w:val="false"/>
          <w:bCs w:val="false"/>
          <w:i/>
          <w:iCs/>
          <w:color w:val="000000"/>
          <w:sz w:val="18"/>
          <w:szCs w:val="18"/>
        </w:rPr>
        <w:t xml:space="preserve">IMPORTACIONES MYS HERMANOS S.A.C. · GE703 · Sistemas Integrados Empresariales · 2026-2</w:t>
      </w:r>
    </w:p>
    <w:p>
      <w:pPr>
        <w:pStyle w:val="Heading1"/>
        <w:spacing w:after="100" w:before="200"/>
      </w:pPr>
      <w:r>
        <w:rPr>
          <w:b/>
          <w:bCs/>
          <w:color w:val="000000"/>
          <w:sz w:val="26"/>
          <w:szCs w:val="26"/>
        </w:rPr>
        <w:t xml:space="preserve">Identificación del incremento</w:t>
      </w:r>
    </w:p>
    <w:tbl>
      <w:tblPr>
        <w:tblW w:type="pct" w:w="100%"/>
        <w:tblBorders>
          <w:top w:val="single" w:color="D9D9D9"/>
          <w:left w:val="single" w:color="D9D9D9"/>
          <w:bottom w:val="single" w:color="D9D9D9"/>
          <w:right w:val="single" w:color="D9D9D9"/>
          <w:insideH w:val="single" w:color="D9D9D9"/>
          <w:insideV w:val="single" w:color="D9D9D9"/>
        </w:tblBorders>
      </w:tblPr>
      <w:tblGrid>
        <w:gridCol w:w="3500"/>
        <w:gridCol w:w="6900"/>
      </w:tblGrid>
      <w:tr>
        <w:tc>
          <w:tcPr>
            <w:tcW w:type="dxa" w:w="3500"/>
            <w:shd w:color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303030"/>
                <w:sz w:val="16"/>
                <w:szCs w:val="16"/>
              </w:rPr>
              <w:t xml:space="preserve">Campo</w:t>
            </w:r>
          </w:p>
        </w:tc>
        <w:tc>
          <w:tcPr>
            <w:tcW w:type="dxa" w:w="6900"/>
            <w:shd w:color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303030"/>
                <w:sz w:val="16"/>
                <w:szCs w:val="16"/>
              </w:rPr>
              <w:t xml:space="preserve">Registro</w:t>
            </w:r>
          </w:p>
        </w:tc>
      </w:tr>
      <w:tr>
        <w:tc>
          <w:tcPr>
            <w:tcW w:type="dxa" w:w="35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03030"/>
                <w:sz w:val="16"/>
                <w:szCs w:val="16"/>
              </w:rPr>
              <w:t xml:space="preserve">Grupo</w:t>
            </w:r>
          </w:p>
        </w:tc>
        <w:tc>
          <w:tcPr>
            <w:tcW w:type="dxa" w:w="69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03030"/>
                <w:sz w:val="16"/>
                <w:szCs w:val="16"/>
              </w:rPr>
              <w:t xml:space="preserve">G7</w:t>
            </w:r>
          </w:p>
        </w:tc>
      </w:tr>
      <w:tr>
        <w:tc>
          <w:tcPr>
            <w:tcW w:type="dxa" w:w="35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03030"/>
                <w:sz w:val="16"/>
                <w:szCs w:val="16"/>
              </w:rPr>
              <w:t xml:space="preserve">Empresa</w:t>
            </w:r>
          </w:p>
        </w:tc>
        <w:tc>
          <w:tcPr>
            <w:tcW w:type="dxa" w:w="69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03030"/>
                <w:sz w:val="16"/>
                <w:szCs w:val="16"/>
              </w:rPr>
              <w:t xml:space="preserve">IMPORTACIONES MYS HERMANOS S.A.C.</w:t>
            </w:r>
          </w:p>
        </w:tc>
      </w:tr>
      <w:tr>
        <w:tc>
          <w:tcPr>
            <w:tcW w:type="dxa" w:w="35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03030"/>
                <w:sz w:val="16"/>
                <w:szCs w:val="16"/>
              </w:rPr>
              <w:t xml:space="preserve">Fecha de exposición</w:t>
            </w:r>
          </w:p>
        </w:tc>
        <w:tc>
          <w:tcPr>
            <w:tcW w:type="dxa" w:w="69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03030"/>
                <w:sz w:val="16"/>
                <w:szCs w:val="16"/>
              </w:rPr>
              <w:t xml:space="preserve">17/10/2026</w:t>
            </w:r>
          </w:p>
        </w:tc>
      </w:tr>
      <w:tr>
        <w:tc>
          <w:tcPr>
            <w:tcW w:type="dxa" w:w="35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03030"/>
                <w:sz w:val="16"/>
                <w:szCs w:val="16"/>
              </w:rPr>
              <w:t xml:space="preserve">Versión</w:t>
            </w:r>
          </w:p>
        </w:tc>
        <w:tc>
          <w:tcPr>
            <w:tcW w:type="dxa" w:w="69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03030"/>
                <w:sz w:val="16"/>
                <w:szCs w:val="16"/>
              </w:rPr>
              <w:t xml:space="preserve">v2.0</w:t>
            </w:r>
          </w:p>
        </w:tc>
      </w:tr>
      <w:tr>
        <w:tc>
          <w:tcPr>
            <w:tcW w:type="dxa" w:w="35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03030"/>
                <w:sz w:val="16"/>
                <w:szCs w:val="16"/>
              </w:rPr>
              <w:t xml:space="preserve">Enlace al repositorio o paquete de evidencias</w:t>
            </w:r>
          </w:p>
        </w:tc>
        <w:tc>
          <w:tcPr>
            <w:tcW w:type="dxa" w:w="69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0303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5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03030"/>
                <w:sz w:val="16"/>
                <w:szCs w:val="16"/>
              </w:rPr>
              <w:t xml:space="preserve">Expositor/a 1</w:t>
            </w:r>
          </w:p>
        </w:tc>
        <w:tc>
          <w:tcPr>
            <w:tcW w:type="dxa" w:w="69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0303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5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03030"/>
                <w:sz w:val="16"/>
                <w:szCs w:val="16"/>
              </w:rPr>
              <w:t xml:space="preserve">Expositor/a 2</w:t>
            </w:r>
          </w:p>
        </w:tc>
        <w:tc>
          <w:tcPr>
            <w:tcW w:type="dxa" w:w="69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03030"/>
                <w:sz w:val="16"/>
                <w:szCs w:val="16"/>
              </w:rPr>
              <w:t xml:space="preserve"/>
            </w:r>
          </w:p>
        </w:tc>
      </w:tr>
    </w:tbl>
    <w:p>
      <w:pPr>
        <w:pStyle w:val="Heading1"/>
        <w:spacing w:after="100" w:before="200"/>
      </w:pPr>
      <w:r>
        <w:rPr>
          <w:b/>
          <w:bCs/>
          <w:color w:val="000000"/>
          <w:sz w:val="26"/>
          <w:szCs w:val="26"/>
        </w:rPr>
        <w:t xml:space="preserve">Integrantes y contribuciones</w:t>
      </w:r>
    </w:p>
    <w:p>
      <w:pPr>
        <w:spacing w:after="110" w:before="0"/>
        <w:jc w:val="left"/>
      </w:pPr>
      <w:r>
        <w:rPr>
          <w:b w:val="false"/>
          <w:bCs w:val="false"/>
          <w:i w:val="false"/>
          <w:iCs w:val="false"/>
          <w:color w:val="303030"/>
          <w:sz w:val="20"/>
          <w:szCs w:val="20"/>
        </w:rPr>
        <w:t xml:space="preserve">Registrar una contribución verificable por integrante: modelo, fuente, prueba, configuración, revisión o validación.</w:t>
      </w:r>
    </w:p>
    <w:tbl>
      <w:tblPr>
        <w:tblW w:type="pct" w:w="100%"/>
        <w:tblBorders>
          <w:top w:val="single" w:color="D9D9D9"/>
          <w:left w:val="single" w:color="D9D9D9"/>
          <w:bottom w:val="single" w:color="D9D9D9"/>
          <w:right w:val="single" w:color="D9D9D9"/>
          <w:insideH w:val="single" w:color="D9D9D9"/>
          <w:insideV w:val="single" w:color="D9D9D9"/>
        </w:tblBorders>
      </w:tblPr>
      <w:tblGrid>
        <w:gridCol w:w="500"/>
        <w:gridCol w:w="3300"/>
        <w:gridCol w:w="6600"/>
      </w:tblGrid>
      <w:tr>
        <w:tc>
          <w:tcPr>
            <w:tcW w:type="dxa" w:w="500"/>
            <w:shd w:color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303030"/>
                <w:sz w:val="16"/>
                <w:szCs w:val="16"/>
              </w:rPr>
              <w:t xml:space="preserve">N°</w:t>
            </w:r>
          </w:p>
        </w:tc>
        <w:tc>
          <w:tcPr>
            <w:tcW w:type="dxa" w:w="3300"/>
            <w:shd w:color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303030"/>
                <w:sz w:val="16"/>
                <w:szCs w:val="16"/>
              </w:rPr>
              <w:t xml:space="preserve">Integrante</w:t>
            </w:r>
          </w:p>
        </w:tc>
        <w:tc>
          <w:tcPr>
            <w:tcW w:type="dxa" w:w="6600"/>
            <w:shd w:color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303030"/>
                <w:sz w:val="16"/>
                <w:szCs w:val="16"/>
              </w:rPr>
              <w:t xml:space="preserve">Contribución verificable</w:t>
            </w:r>
          </w:p>
        </w:tc>
      </w:tr>
      <w:tr>
        <w:tc>
          <w:tcPr>
            <w:tcW w:type="dxa" w:w="5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03030"/>
                <w:sz w:val="16"/>
                <w:szCs w:val="16"/>
              </w:rPr>
              <w:t xml:space="preserve">1</w:t>
            </w:r>
          </w:p>
        </w:tc>
        <w:tc>
          <w:tcPr>
            <w:tcW w:type="dxa" w:w="33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03030"/>
                <w:sz w:val="16"/>
                <w:szCs w:val="16"/>
              </w:rPr>
              <w:t xml:space="preserve">Arancibia Ynga, Benjamin Francis</w:t>
            </w:r>
          </w:p>
        </w:tc>
        <w:tc>
          <w:tcPr>
            <w:tcW w:type="dxa" w:w="66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0303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03030"/>
                <w:sz w:val="16"/>
                <w:szCs w:val="16"/>
              </w:rPr>
              <w:t xml:space="preserve">2</w:t>
            </w:r>
          </w:p>
        </w:tc>
        <w:tc>
          <w:tcPr>
            <w:tcW w:type="dxa" w:w="33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03030"/>
                <w:sz w:val="16"/>
                <w:szCs w:val="16"/>
              </w:rPr>
              <w:t xml:space="preserve">Carrión Oré, Shirley</w:t>
            </w:r>
          </w:p>
        </w:tc>
        <w:tc>
          <w:tcPr>
            <w:tcW w:type="dxa" w:w="66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0303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03030"/>
                <w:sz w:val="16"/>
                <w:szCs w:val="16"/>
              </w:rPr>
              <w:t xml:space="preserve">3</w:t>
            </w:r>
          </w:p>
        </w:tc>
        <w:tc>
          <w:tcPr>
            <w:tcW w:type="dxa" w:w="33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03030"/>
                <w:sz w:val="16"/>
                <w:szCs w:val="16"/>
              </w:rPr>
              <w:t xml:space="preserve">Chavez Mendoza, Gabriel Omar</w:t>
            </w:r>
          </w:p>
        </w:tc>
        <w:tc>
          <w:tcPr>
            <w:tcW w:type="dxa" w:w="66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0303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03030"/>
                <w:sz w:val="16"/>
                <w:szCs w:val="16"/>
              </w:rPr>
              <w:t xml:space="preserve">4</w:t>
            </w:r>
          </w:p>
        </w:tc>
        <w:tc>
          <w:tcPr>
            <w:tcW w:type="dxa" w:w="33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03030"/>
                <w:sz w:val="16"/>
                <w:szCs w:val="16"/>
              </w:rPr>
              <w:t xml:space="preserve">Mansilla Soto, Adrian</w:t>
            </w:r>
          </w:p>
        </w:tc>
        <w:tc>
          <w:tcPr>
            <w:tcW w:type="dxa" w:w="66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0303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03030"/>
                <w:sz w:val="16"/>
                <w:szCs w:val="16"/>
              </w:rPr>
              <w:t xml:space="preserve">5</w:t>
            </w:r>
          </w:p>
        </w:tc>
        <w:tc>
          <w:tcPr>
            <w:tcW w:type="dxa" w:w="33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03030"/>
                <w:sz w:val="16"/>
                <w:szCs w:val="16"/>
              </w:rPr>
              <w:t xml:space="preserve">Paucarcaja Ramos, Jharolym</w:t>
            </w:r>
          </w:p>
        </w:tc>
        <w:tc>
          <w:tcPr>
            <w:tcW w:type="dxa" w:w="66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0303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03030"/>
                <w:sz w:val="16"/>
                <w:szCs w:val="16"/>
              </w:rPr>
              <w:t xml:space="preserve">6</w:t>
            </w:r>
          </w:p>
        </w:tc>
        <w:tc>
          <w:tcPr>
            <w:tcW w:type="dxa" w:w="33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03030"/>
                <w:sz w:val="16"/>
                <w:szCs w:val="16"/>
              </w:rPr>
              <w:t xml:space="preserve">Quintainlla Huamanraime, Ballack Zidane</w:t>
            </w:r>
          </w:p>
        </w:tc>
        <w:tc>
          <w:tcPr>
            <w:tcW w:type="dxa" w:w="66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03030"/>
                <w:sz w:val="16"/>
                <w:szCs w:val="16"/>
              </w:rPr>
              <w:t xml:space="preserve"/>
            </w:r>
          </w:p>
        </w:tc>
      </w:tr>
    </w:tbl>
    <w:p>
      <w:pPr>
        <w:pStyle w:val="Heading1"/>
        <w:spacing w:after="100" w:before="200"/>
      </w:pPr>
      <w:r>
        <w:rPr>
          <w:b/>
          <w:bCs/>
          <w:color w:val="000000"/>
          <w:sz w:val="26"/>
          <w:szCs w:val="26"/>
        </w:rPr>
        <w:t xml:space="preserve">Guion de la entrega y exposición</w:t>
      </w:r>
    </w:p>
    <w:p>
      <w:pPr>
        <w:pStyle w:val="Heading2"/>
        <w:spacing w:after="100" w:before="200"/>
      </w:pPr>
      <w:r>
        <w:rPr>
          <w:b/>
          <w:bCs/>
          <w:color w:val="000000"/>
          <w:sz w:val="22"/>
          <w:szCs w:val="22"/>
        </w:rPr>
        <w:t xml:space="preserve">1. Incremento desde PC1</w:t>
      </w:r>
    </w:p>
    <w:p>
      <w:pPr>
        <w:spacing w:after="110" w:before="0"/>
        <w:jc w:val="left"/>
      </w:pPr>
      <w:r>
        <w:rPr>
          <w:b w:val="false"/>
          <w:bCs w:val="false"/>
          <w:i/>
          <w:iCs/>
          <w:color w:val="303030"/>
          <w:sz w:val="20"/>
          <w:szCs w:val="20"/>
        </w:rPr>
        <w:t xml:space="preserve">Indiquen qué decisiones de PC1 se mantienen, cuáles se modifican y por qué.</w:t>
      </w:r>
    </w:p>
    <w:p>
      <w:pPr>
        <w:spacing w:after="110" w:before="0"/>
        <w:jc w:val="left"/>
      </w:pPr>
      <w:r>
        <w:rPr>
          <w:b w:val="false"/>
          <w:bCs w:val="false"/>
          <w:i w:val="false"/>
          <w:iCs w:val="false"/>
          <w:color w:val="303030"/>
          <w:sz w:val="20"/>
          <w:szCs w:val="20"/>
        </w:rPr>
        <w:t xml:space="preserve">Completar aquí: ______________________________________________________________________________________________</w:t>
      </w:r>
    </w:p>
    <w:p>
      <w:pPr>
        <w:pStyle w:val="Heading2"/>
        <w:spacing w:after="100" w:before="200"/>
      </w:pPr>
      <w:r>
        <w:rPr>
          <w:b/>
          <w:bCs/>
          <w:color w:val="000000"/>
          <w:sz w:val="22"/>
          <w:szCs w:val="22"/>
        </w:rPr>
        <w:t>2. Escenario comercial y transición CRM-ERP</w:t>
      </w:r>
    </w:p>
    <w:p>
      <w:pPr>
        <w:spacing w:after="110" w:before="0"/>
        <w:jc w:val="left"/>
      </w:pPr>
      <w:r>
        <w:rPr>
          <w:b w:val="false"/>
          <w:bCs w:val="false"/>
          <w:i/>
          <w:iCs/>
          <w:color w:val="303030"/>
          <w:sz w:val="20"/>
          <w:szCs w:val="20"/>
        </w:rPr>
        <w:t>Describan marketing, CRM, cliente, lead, oportunidad y cotización; especifiquen la solicitud de creación de pedido y sus reglas o excepciones. No desarrollen facturación ni posventa.</w:t>
      </w:r>
    </w:p>
    <w:p>
      <w:pPr>
        <w:spacing w:after="110" w:before="0"/>
        <w:jc w:val="left"/>
      </w:pPr>
      <w:r>
        <w:rPr>
          <w:b w:val="false"/>
          <w:bCs w:val="false"/>
          <w:i w:val="false"/>
          <w:iCs w:val="false"/>
          <w:color w:val="303030"/>
          <w:sz w:val="20"/>
          <w:szCs w:val="20"/>
        </w:rPr>
        <w:t xml:space="preserve">Completar aquí: ______________________________________________________________________________________________</w:t>
      </w:r>
    </w:p>
    <w:p>
      <w:pPr>
        <w:pStyle w:val="Heading2"/>
        <w:spacing w:after="100" w:before="200"/>
      </w:pPr>
      <w:r>
        <w:rPr>
          <w:b/>
          <w:bCs/>
          <w:color w:val="000000"/>
          <w:sz w:val="22"/>
          <w:szCs w:val="22"/>
        </w:rPr>
        <w:t>3. Contrato de transición CRM-ERP</w:t>
      </w:r>
    </w:p>
    <w:p>
      <w:pPr>
        <w:spacing w:after="110" w:before="0"/>
        <w:jc w:val="left"/>
      </w:pPr>
      <w:r>
        <w:rPr>
          <w:b w:val="false"/>
          <w:bCs w:val="false"/>
          <w:i/>
          <w:iCs/>
          <w:color w:val="303030"/>
          <w:sz w:val="20"/>
          <w:szCs w:val="20"/>
        </w:rPr>
        <w:t>Incluyan sistemas de registro, objetos y estados, eventos, datos mínimos, controles, respuestas o excepciones y responsables.</w:t>
      </w:r>
    </w:p>
    <w:p>
      <w:pPr>
        <w:spacing w:after="110" w:before="0"/>
        <w:jc w:val="left"/>
      </w:pPr>
      <w:r>
        <w:rPr>
          <w:b w:val="false"/>
          <w:bCs w:val="false"/>
          <w:i w:val="false"/>
          <w:iCs w:val="false"/>
          <w:color w:val="303030"/>
          <w:sz w:val="20"/>
          <w:szCs w:val="20"/>
        </w:rPr>
        <w:t xml:space="preserve">Completar aquí: ______________________________________________________________________________________________</w:t>
      </w:r>
    </w:p>
    <w:p>
      <w:pPr>
        <w:pStyle w:val="Heading2"/>
        <w:spacing w:after="100" w:before="200"/>
      </w:pPr>
      <w:r>
        <w:rPr>
          <w:b/>
          <w:bCs/>
          <w:color w:val="000000"/>
          <w:sz w:val="22"/>
          <w:szCs w:val="22"/>
        </w:rPr>
        <w:t>4. Prueba del contrato</w:t>
      </w:r>
    </w:p>
    <w:p>
      <w:pPr>
        <w:spacing w:after="110" w:before="0"/>
        <w:jc w:val="left"/>
      </w:pPr>
      <w:r>
        <w:rPr>
          <w:b w:val="false"/>
          <w:bCs w:val="false"/>
          <w:i/>
          <w:iCs/>
          <w:color w:val="303030"/>
          <w:sz w:val="20"/>
          <w:szCs w:val="20"/>
        </w:rPr>
        <w:t>Documenten precondiciones, pasos, estado esperado, respuesta o excepción, resultado obtenido, evidencia y responsable o escalamiento.</w:t>
      </w:r>
    </w:p>
    <w:p>
      <w:pPr>
        <w:spacing w:after="110" w:before="0"/>
        <w:jc w:val="left"/>
      </w:pPr>
      <w:r>
        <w:rPr>
          <w:b w:val="false"/>
          <w:bCs w:val="false"/>
          <w:i w:val="false"/>
          <w:iCs w:val="false"/>
          <w:color w:val="303030"/>
          <w:sz w:val="20"/>
          <w:szCs w:val="20"/>
        </w:rPr>
        <w:t xml:space="preserve">Completar aquí: ______________________________________________________________________________________________</w:t>
      </w:r>
    </w:p>
    <w:p>
      <w:pPr>
        <w:pStyle w:val="Heading2"/>
        <w:spacing w:after="100" w:before="200"/>
      </w:pPr>
      <w:r>
        <w:rPr>
          <w:b/>
          <w:bCs/>
          <w:color w:val="000000"/>
          <w:sz w:val="22"/>
          <w:szCs w:val="22"/>
        </w:rPr>
        <w:t>5. Fuentes, límites y continuidad</w:t>
      </w:r>
    </w:p>
    <w:p>
      <w:pPr>
        <w:spacing w:after="110" w:before="0"/>
        <w:jc w:val="left"/>
      </w:pPr>
      <w:r>
        <w:rPr>
          <w:b w:val="false"/>
          <w:bCs w:val="false"/>
          <w:i/>
          <w:iCs/>
          <w:color w:val="303030"/>
          <w:sz w:val="20"/>
          <w:szCs w:val="20"/>
        </w:rPr>
        <w:t>Declaren fuentes, supuestos, vacíos, uso de IA si corresponde y límites. Indiquen qué queda pendiente para pedido operativo, facturación, entrega y posventa. No se solicita un agente comercial.</w:t>
      </w:r>
    </w:p>
    <w:p>
      <w:pPr>
        <w:spacing w:after="110" w:before="0"/>
        <w:jc w:val="left"/>
      </w:pPr>
      <w:r>
        <w:rPr>
          <w:b w:val="false"/>
          <w:bCs w:val="false"/>
          <w:i w:val="false"/>
          <w:iCs w:val="false"/>
          <w:color w:val="303030"/>
          <w:sz w:val="20"/>
          <w:szCs w:val="20"/>
        </w:rPr>
        <w:t xml:space="preserve">Completar aquí: ______________________________________________________________________________________________</w:t>
      </w:r>
    </w:p>
    <w:p>
      <w:pPr>
        <w:pStyle w:val="Heading1"/>
        <w:spacing w:after="100" w:before="200"/>
      </w:pPr>
      <w:r>
        <w:rPr>
          <w:b/>
          <w:bCs/>
          <w:color w:val="000000"/>
          <w:sz w:val="26"/>
          <w:szCs w:val="26"/>
        </w:rPr>
        <w:t xml:space="preserve">Fuentes, uso de IA y declaración de límites</w:t>
      </w:r>
    </w:p>
    <w:tbl>
      <w:tblPr>
        <w:tblW w:type="pct" w:w="100%"/>
        <w:tblBorders>
          <w:top w:val="single" w:color="D9D9D9"/>
          <w:left w:val="single" w:color="D9D9D9"/>
          <w:bottom w:val="single" w:color="D9D9D9"/>
          <w:right w:val="single" w:color="D9D9D9"/>
          <w:insideH w:val="single" w:color="D9D9D9"/>
          <w:insideV w:val="single" w:color="D9D9D9"/>
        </w:tblBorders>
      </w:tblPr>
      <w:tblGrid>
        <w:gridCol w:w="3500"/>
        <w:gridCol w:w="6900"/>
      </w:tblGrid>
      <w:tr>
        <w:tc>
          <w:tcPr>
            <w:tcW w:type="dxa" w:w="3500"/>
            <w:shd w:color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303030"/>
                <w:sz w:val="16"/>
                <w:szCs w:val="16"/>
              </w:rPr>
              <w:t xml:space="preserve">Elemento</w:t>
            </w:r>
          </w:p>
        </w:tc>
        <w:tc>
          <w:tcPr>
            <w:tcW w:type="dxa" w:w="6900"/>
            <w:shd w:color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303030"/>
                <w:sz w:val="16"/>
                <w:szCs w:val="16"/>
              </w:rPr>
              <w:t xml:space="preserve">Registro</w:t>
            </w:r>
          </w:p>
        </w:tc>
      </w:tr>
      <w:tr>
        <w:tc>
          <w:tcPr>
            <w:tcW w:type="dxa" w:w="35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03030"/>
                <w:sz w:val="16"/>
                <w:szCs w:val="16"/>
              </w:rPr>
              <w:t xml:space="preserve">Fuentes y fecha de acceso</w:t>
            </w:r>
          </w:p>
        </w:tc>
        <w:tc>
          <w:tcPr>
            <w:tcW w:type="dxa" w:w="69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0303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5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03030"/>
                <w:sz w:val="16"/>
                <w:szCs w:val="16"/>
              </w:rPr>
              <w:t xml:space="preserve">Herramientas de IA usadas y propósito</w:t>
            </w:r>
          </w:p>
        </w:tc>
        <w:tc>
          <w:tcPr>
            <w:tcW w:type="dxa" w:w="69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0303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5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03030"/>
                <w:sz w:val="16"/>
                <w:szCs w:val="16"/>
              </w:rPr>
              <w:t xml:space="preserve">Datos sensibles excluidos o anonimizados</w:t>
            </w:r>
          </w:p>
        </w:tc>
        <w:tc>
          <w:tcPr>
            <w:tcW w:type="dxa" w:w="69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0303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5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03030"/>
                <w:sz w:val="16"/>
                <w:szCs w:val="16"/>
              </w:rPr>
              <w:t xml:space="preserve">Límites, supuestos y pendientes</w:t>
            </w:r>
          </w:p>
        </w:tc>
        <w:tc>
          <w:tcPr>
            <w:tcW w:type="dxa" w:w="69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03030"/>
                <w:sz w:val="16"/>
                <w:szCs w:val="16"/>
              </w:rPr>
              <w:t xml:space="preserve"/>
            </w:r>
          </w:p>
        </w:tc>
      </w:tr>
    </w:tbl>
    <w:p>
      <w:pPr>
        <w:pStyle w:val="Heading1"/>
        <w:spacing w:after="100" w:before="200"/>
      </w:pPr>
      <w:r>
        <w:rPr>
          <w:b/>
          <w:bCs/>
          <w:color w:val="000000"/>
          <w:sz w:val="26"/>
          <w:szCs w:val="26"/>
        </w:rPr>
        <w:t xml:space="preserve">Cierre</w:t>
      </w:r>
    </w:p>
    <w:p>
      <w:pPr>
        <w:spacing w:after="110" w:before="0"/>
        <w:jc w:val="left"/>
      </w:pPr>
      <w:r>
        <w:rPr>
          <w:b w:val="false"/>
          <w:bCs w:val="false"/>
          <w:i w:val="false"/>
          <w:iCs w:val="false"/>
          <w:color w:val="303030"/>
          <w:sz w:val="20"/>
          <w:szCs w:val="20"/>
        </w:rPr>
        <w:t>Antes de entregar, verifiquen que las afirmaciones sean rastreables, que el contrato pueda revisarse y que los dos expositores dominen las decisiones y los límites del alcance de sesión 6.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03030"/>
        <w:sz w:val="20"/>
        <w:szCs w:val="20"/>
      </w:rPr>
    </w:rPrDefault>
    <w:pPrDefault>
      <w:pPr>
        <w:spacing w:after="11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2026-09-18T04:05:16.117Z</dcterms:created>
  <dcterms:modified xsi:type="dcterms:W3CDTF">2026-09-18T04:05:16.117Z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