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SWTID-2026-9601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Auto-Ticket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000000" cy="2926785"/>
            <wp:effectExtent b="0" l="0" r="0" t="0"/>
            <wp:docPr descr="Solution architecture diagram for Auto-Ticket Classification Using Flow Designer in ServiceNow" id="1" name="image1.png"/>
            <a:graphic>
              <a:graphicData uri="http://schemas.openxmlformats.org/drawingml/2006/picture">
                <pic:pic>
                  <pic:nvPicPr>
                    <pic:cNvPr descr="Solution architecture diagram for Auto-Ticket Classification Using Flow Designer in ServiceNow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926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Auto-Ticket Classification solution (ServiceNow Flow Designer)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