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5F5B4" w14:textId="77777777" w:rsidR="00E065AD" w:rsidRDefault="00E065AD" w:rsidP="00E065AD">
      <w:pPr>
        <w:pStyle w:val="NormalWeb"/>
      </w:pPr>
      <w:r>
        <w:rPr>
          <w:rStyle w:val="Strong"/>
          <w:rFonts w:eastAsiaTheme="majorEastAsia"/>
        </w:rPr>
        <w:t>Bitcoin Plus Fund — Fee Term Sheet (Final Version)</w:t>
      </w:r>
    </w:p>
    <w:p w14:paraId="300FB510" w14:textId="7310A951" w:rsidR="00E065AD" w:rsidRDefault="00E065AD" w:rsidP="00E065AD">
      <w:pPr>
        <w:pStyle w:val="NormalWeb"/>
      </w:pPr>
      <w:r>
        <w:rPr>
          <w:rStyle w:val="Strong"/>
          <w:rFonts w:eastAsiaTheme="majorEastAsia"/>
        </w:rPr>
        <w:t>Fund Name:</w:t>
      </w:r>
      <w:r>
        <w:br/>
        <w:t>Bluebottle Bitcoin Plus Fund</w:t>
      </w:r>
    </w:p>
    <w:p w14:paraId="65A1E2E7" w14:textId="77777777" w:rsidR="00E065AD" w:rsidRDefault="00E065AD" w:rsidP="00E065AD">
      <w:pPr>
        <w:pStyle w:val="NormalWeb"/>
      </w:pPr>
      <w:r>
        <w:rPr>
          <w:rStyle w:val="Strong"/>
          <w:rFonts w:eastAsiaTheme="majorEastAsia"/>
        </w:rPr>
        <w:t>Fund Objective:</w:t>
      </w:r>
      <w:r>
        <w:br/>
        <w:t>To deliver outperformance relative to Bitcoin benchmark returns, net of fees.</w:t>
      </w:r>
    </w:p>
    <w:p w14:paraId="0E8AABAF" w14:textId="77777777" w:rsidR="00E065AD" w:rsidRDefault="00000000" w:rsidP="00E065AD">
      <w:r>
        <w:pict w14:anchorId="1218316F">
          <v:rect id="_x0000_i1025" style="width:0;height:1.5pt" o:hralign="center" o:hrstd="t" o:hr="t" fillcolor="#a0a0a0" stroked="f"/>
        </w:pict>
      </w:r>
    </w:p>
    <w:p w14:paraId="78E92466" w14:textId="77777777" w:rsidR="00E065AD" w:rsidRDefault="00E065AD" w:rsidP="00E065AD">
      <w:pPr>
        <w:pStyle w:val="Heading3"/>
      </w:pPr>
      <w:r>
        <w:t>1. Base Management Fee</w:t>
      </w:r>
    </w:p>
    <w:p w14:paraId="2326565E" w14:textId="77777777" w:rsidR="00E065AD" w:rsidRDefault="00E065AD" w:rsidP="00E065AD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Rate:</w:t>
      </w:r>
      <w:r>
        <w:t xml:space="preserve"> 1.00% per annum</w:t>
      </w:r>
    </w:p>
    <w:p w14:paraId="10CC0AA0" w14:textId="77777777" w:rsidR="00E065AD" w:rsidRDefault="00E065AD" w:rsidP="00E065AD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Calculation:</w:t>
      </w:r>
    </w:p>
    <w:p w14:paraId="7EC0519F" w14:textId="77777777" w:rsidR="00E065AD" w:rsidRDefault="00E065AD" w:rsidP="00E065AD">
      <w:pPr>
        <w:pStyle w:val="NormalWeb"/>
        <w:numPr>
          <w:ilvl w:val="1"/>
          <w:numId w:val="11"/>
        </w:numPr>
      </w:pPr>
      <w:r>
        <w:t>Accrued daily, based on daily NAV.</w:t>
      </w:r>
    </w:p>
    <w:p w14:paraId="33083520" w14:textId="77777777" w:rsidR="00E065AD" w:rsidRDefault="00E065AD" w:rsidP="00E065AD">
      <w:pPr>
        <w:pStyle w:val="NormalWeb"/>
        <w:numPr>
          <w:ilvl w:val="1"/>
          <w:numId w:val="11"/>
        </w:numPr>
      </w:pPr>
      <w:r>
        <w:t>Deducted monthly from the Fund’s assets.</w:t>
      </w:r>
    </w:p>
    <w:p w14:paraId="5CEAE9E9" w14:textId="77777777" w:rsidR="00E065AD" w:rsidRDefault="00E065AD" w:rsidP="00E065AD">
      <w:pPr>
        <w:pStyle w:val="NormalWeb"/>
        <w:numPr>
          <w:ilvl w:val="0"/>
          <w:numId w:val="11"/>
        </w:numPr>
      </w:pPr>
      <w:r>
        <w:rPr>
          <w:rStyle w:val="Strong"/>
          <w:rFonts w:eastAsiaTheme="majorEastAsia"/>
        </w:rPr>
        <w:t>Purpose:</w:t>
      </w:r>
      <w:r>
        <w:t xml:space="preserve"> Covers operational and management expenses.</w:t>
      </w:r>
    </w:p>
    <w:p w14:paraId="3B1C6EF4" w14:textId="77777777" w:rsidR="00E065AD" w:rsidRDefault="00000000" w:rsidP="00E065AD">
      <w:r>
        <w:pict w14:anchorId="452D35D5">
          <v:rect id="_x0000_i1026" style="width:0;height:1.5pt" o:hralign="center" o:hrstd="t" o:hr="t" fillcolor="#a0a0a0" stroked="f"/>
        </w:pict>
      </w:r>
    </w:p>
    <w:p w14:paraId="4CD96247" w14:textId="77777777" w:rsidR="00E065AD" w:rsidRDefault="00E065AD" w:rsidP="00E065AD">
      <w:pPr>
        <w:pStyle w:val="Heading3"/>
      </w:pPr>
      <w:r>
        <w:t>2. Performance Fee</w:t>
      </w:r>
    </w:p>
    <w:p w14:paraId="4A9C1D40" w14:textId="77777777" w:rsidR="00E065AD" w:rsidRDefault="00E065AD" w:rsidP="00E065AD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Rate:</w:t>
      </w:r>
      <w:r>
        <w:t xml:space="preserve"> 20% of outperformance over the Benchmark.</w:t>
      </w:r>
    </w:p>
    <w:p w14:paraId="621B09D2" w14:textId="77777777" w:rsidR="00E065AD" w:rsidRDefault="00E065AD" w:rsidP="00E065AD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Benchmark:</w:t>
      </w:r>
      <w:r>
        <w:br/>
        <w:t xml:space="preserve">The Bitcoin Benchmark is defined as the return of the Bitcoin Spot Index, as published by </w:t>
      </w:r>
      <w:proofErr w:type="spellStart"/>
      <w:r>
        <w:rPr>
          <w:rStyle w:val="Strong"/>
          <w:rFonts w:eastAsiaTheme="majorEastAsia"/>
        </w:rPr>
        <w:t>CoinMarketCap</w:t>
      </w:r>
      <w:proofErr w:type="spellEnd"/>
      <w:r>
        <w:t>.</w:t>
      </w:r>
    </w:p>
    <w:p w14:paraId="4254BADE" w14:textId="77777777" w:rsidR="00E065AD" w:rsidRDefault="00E065AD" w:rsidP="00E065AD">
      <w:pPr>
        <w:pStyle w:val="NormalWeb"/>
        <w:ind w:left="720"/>
      </w:pPr>
      <w:r>
        <w:t>Performance fees are calculated based on the Fund’s net outperformance relative to this Benchmark.</w:t>
      </w:r>
    </w:p>
    <w:p w14:paraId="4791C0F9" w14:textId="77777777" w:rsidR="00E065AD" w:rsidRDefault="00E065AD" w:rsidP="00E065AD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Calculation:</w:t>
      </w:r>
    </w:p>
    <w:p w14:paraId="3DA4E0A1" w14:textId="77777777" w:rsidR="00E065AD" w:rsidRDefault="00E065AD" w:rsidP="00E065AD">
      <w:pPr>
        <w:pStyle w:val="NormalWeb"/>
        <w:numPr>
          <w:ilvl w:val="1"/>
          <w:numId w:val="12"/>
        </w:numPr>
      </w:pPr>
      <w:r>
        <w:t xml:space="preserve">The Fund’s performance, </w:t>
      </w:r>
      <w:r>
        <w:rPr>
          <w:rStyle w:val="Strong"/>
          <w:rFonts w:eastAsiaTheme="majorEastAsia"/>
        </w:rPr>
        <w:t>net of the base management fee</w:t>
      </w:r>
      <w:r>
        <w:t>, is compared to the Bitcoin Benchmark less the strategy maintenance hurdle of 0.25% per annum (accrued daily).</w:t>
      </w:r>
    </w:p>
    <w:p w14:paraId="794A67F6" w14:textId="77777777" w:rsidR="00E065AD" w:rsidRDefault="00E065AD" w:rsidP="00E065AD">
      <w:pPr>
        <w:pStyle w:val="NormalWeb"/>
        <w:numPr>
          <w:ilvl w:val="1"/>
          <w:numId w:val="12"/>
        </w:numPr>
      </w:pPr>
      <w:r>
        <w:t>Performance fees are calculated based on the Fund’s net outperformance relative to the net Benchmark.</w:t>
      </w:r>
    </w:p>
    <w:p w14:paraId="368342A7" w14:textId="77777777" w:rsidR="00E065AD" w:rsidRDefault="00E065AD" w:rsidP="00E065AD">
      <w:pPr>
        <w:pStyle w:val="NormalWeb"/>
        <w:numPr>
          <w:ilvl w:val="1"/>
          <w:numId w:val="12"/>
        </w:numPr>
      </w:pPr>
      <w:r>
        <w:t>Fees are accrued daily in the Fund’s NAV and crystallised at the end of each calendar month.</w:t>
      </w:r>
    </w:p>
    <w:p w14:paraId="64A0C4ED" w14:textId="77777777" w:rsidR="00E065AD" w:rsidRDefault="00E065AD" w:rsidP="00E065AD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Strategy Maintenance Hurdle:</w:t>
      </w:r>
    </w:p>
    <w:p w14:paraId="06AFA426" w14:textId="77777777" w:rsidR="00E065AD" w:rsidRDefault="00E065AD" w:rsidP="00E065AD">
      <w:pPr>
        <w:pStyle w:val="NormalWeb"/>
        <w:numPr>
          <w:ilvl w:val="1"/>
          <w:numId w:val="12"/>
        </w:numPr>
      </w:pPr>
      <w:r>
        <w:t xml:space="preserve">A notional hurdle of </w:t>
      </w:r>
      <w:r>
        <w:rPr>
          <w:rStyle w:val="Strong"/>
          <w:rFonts w:eastAsiaTheme="majorEastAsia"/>
        </w:rPr>
        <w:t>0.25% per annum</w:t>
      </w:r>
      <w:r>
        <w:t>, accrued daily.</w:t>
      </w:r>
    </w:p>
    <w:p w14:paraId="1B38F670" w14:textId="77777777" w:rsidR="00E065AD" w:rsidRDefault="00E065AD" w:rsidP="00E065AD">
      <w:pPr>
        <w:pStyle w:val="NormalWeb"/>
        <w:numPr>
          <w:ilvl w:val="1"/>
          <w:numId w:val="12"/>
        </w:numPr>
      </w:pPr>
      <w:r>
        <w:t>The maintenance hurdle reflects costs associated with maintaining the strategy and is in addition to the base management fee.</w:t>
      </w:r>
    </w:p>
    <w:p w14:paraId="7352D5BD" w14:textId="77777777" w:rsidR="00E065AD" w:rsidRDefault="00E065AD" w:rsidP="00E065AD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Crystallisation:</w:t>
      </w:r>
    </w:p>
    <w:p w14:paraId="4BDEB68F" w14:textId="77777777" w:rsidR="00E065AD" w:rsidRDefault="00E065AD" w:rsidP="00E065AD">
      <w:pPr>
        <w:pStyle w:val="NormalWeb"/>
        <w:numPr>
          <w:ilvl w:val="1"/>
          <w:numId w:val="12"/>
        </w:numPr>
      </w:pPr>
      <w:r>
        <w:t>Performance fees are crystallised monthly at the end of each calendar month.</w:t>
      </w:r>
    </w:p>
    <w:p w14:paraId="3A0E7260" w14:textId="77777777" w:rsidR="00E065AD" w:rsidRDefault="00E065AD" w:rsidP="00E065AD">
      <w:pPr>
        <w:pStyle w:val="NormalWeb"/>
        <w:numPr>
          <w:ilvl w:val="0"/>
          <w:numId w:val="12"/>
        </w:numPr>
      </w:pPr>
      <w:r>
        <w:rPr>
          <w:rStyle w:val="Strong"/>
          <w:rFonts w:eastAsiaTheme="majorEastAsia"/>
        </w:rPr>
        <w:t>High-Water Mark:</w:t>
      </w:r>
    </w:p>
    <w:p w14:paraId="5746B254" w14:textId="77777777" w:rsidR="00E065AD" w:rsidRDefault="00E065AD" w:rsidP="00E065AD">
      <w:pPr>
        <w:pStyle w:val="NormalWeb"/>
        <w:numPr>
          <w:ilvl w:val="1"/>
          <w:numId w:val="12"/>
        </w:numPr>
      </w:pPr>
      <w:r>
        <w:t xml:space="preserve">The high-water mark applies to the Fund’s cumulative outperformance over the Benchmark, </w:t>
      </w:r>
      <w:r>
        <w:rPr>
          <w:rStyle w:val="Strong"/>
          <w:rFonts w:eastAsiaTheme="majorEastAsia"/>
        </w:rPr>
        <w:t>after including the strategy maintenance hurdle and base management fee.</w:t>
      </w:r>
    </w:p>
    <w:p w14:paraId="4E34181B" w14:textId="77777777" w:rsidR="00E065AD" w:rsidRDefault="00E065AD" w:rsidP="00E065AD">
      <w:pPr>
        <w:pStyle w:val="NormalWeb"/>
        <w:numPr>
          <w:ilvl w:val="1"/>
          <w:numId w:val="12"/>
        </w:numPr>
      </w:pPr>
      <w:r>
        <w:t>Performance fees are only payable on the portion of cumulative net outperformance that exceeds the prior high-water mark.</w:t>
      </w:r>
    </w:p>
    <w:p w14:paraId="3F8DAA9C" w14:textId="77777777" w:rsidR="00E065AD" w:rsidRDefault="00E065AD" w:rsidP="00E065AD">
      <w:pPr>
        <w:pStyle w:val="NormalWeb"/>
        <w:numPr>
          <w:ilvl w:val="1"/>
          <w:numId w:val="12"/>
        </w:numPr>
      </w:pPr>
      <w:r>
        <w:lastRenderedPageBreak/>
        <w:t>The high-water mark is reset at each crystallisation point if a new cumulative outperformance level is reached.</w:t>
      </w:r>
    </w:p>
    <w:p w14:paraId="38D7049B" w14:textId="77777777" w:rsidR="00E065AD" w:rsidRDefault="00E065AD" w:rsidP="00E065AD">
      <w:pPr>
        <w:pStyle w:val="NormalWeb"/>
        <w:numPr>
          <w:ilvl w:val="1"/>
          <w:numId w:val="12"/>
        </w:numPr>
      </w:pPr>
      <w:r>
        <w:t>This ensures that investors are not charged performance fees for recouping previous underperformance relative to the Benchmark.</w:t>
      </w:r>
    </w:p>
    <w:p w14:paraId="2BD8714C" w14:textId="77777777" w:rsidR="00E065AD" w:rsidRDefault="00000000" w:rsidP="00E065AD">
      <w:r>
        <w:pict w14:anchorId="7277034B">
          <v:rect id="_x0000_i1027" style="width:0;height:1.5pt" o:hralign="center" o:hrstd="t" o:hr="t" fillcolor="#a0a0a0" stroked="f"/>
        </w:pict>
      </w:r>
    </w:p>
    <w:p w14:paraId="297F32EC" w14:textId="77777777" w:rsidR="00E065AD" w:rsidRDefault="00E065AD" w:rsidP="00E065AD">
      <w:pPr>
        <w:pStyle w:val="Heading3"/>
      </w:pPr>
      <w:r>
        <w:t>3. Crystallisation Period</w:t>
      </w:r>
    </w:p>
    <w:p w14:paraId="0FD15810" w14:textId="77777777" w:rsidR="00E065AD" w:rsidRDefault="00E065AD" w:rsidP="00E065AD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Frequency:</w:t>
      </w:r>
      <w:r>
        <w:t xml:space="preserve"> Monthly (last calendar day of each month)</w:t>
      </w:r>
    </w:p>
    <w:p w14:paraId="6D2C067F" w14:textId="77777777" w:rsidR="00E065AD" w:rsidRDefault="00E065AD" w:rsidP="00E065AD">
      <w:pPr>
        <w:pStyle w:val="NormalWeb"/>
        <w:numPr>
          <w:ilvl w:val="0"/>
          <w:numId w:val="13"/>
        </w:numPr>
      </w:pPr>
      <w:r>
        <w:rPr>
          <w:rStyle w:val="Strong"/>
          <w:rFonts w:eastAsiaTheme="majorEastAsia"/>
        </w:rPr>
        <w:t>Mechanism:</w:t>
      </w:r>
    </w:p>
    <w:p w14:paraId="4D02282D" w14:textId="77777777" w:rsidR="00E065AD" w:rsidRDefault="00E065AD" w:rsidP="00E065AD">
      <w:pPr>
        <w:pStyle w:val="NormalWeb"/>
        <w:numPr>
          <w:ilvl w:val="1"/>
          <w:numId w:val="13"/>
        </w:numPr>
      </w:pPr>
      <w:r>
        <w:t>Performance fee accrued daily and crystallised at month-end.</w:t>
      </w:r>
    </w:p>
    <w:p w14:paraId="66CC31DE" w14:textId="77777777" w:rsidR="00E065AD" w:rsidRDefault="00E065AD" w:rsidP="00E065AD">
      <w:pPr>
        <w:pStyle w:val="NormalWeb"/>
        <w:numPr>
          <w:ilvl w:val="1"/>
          <w:numId w:val="13"/>
        </w:numPr>
      </w:pPr>
      <w:r>
        <w:t>At crystallisation, the accrued fee is paid to the Manager.</w:t>
      </w:r>
    </w:p>
    <w:p w14:paraId="42A20497" w14:textId="77777777" w:rsidR="00E065AD" w:rsidRDefault="00000000" w:rsidP="00E065AD">
      <w:r>
        <w:pict w14:anchorId="5AC6490F">
          <v:rect id="_x0000_i1028" style="width:0;height:1.5pt" o:hralign="center" o:hrstd="t" o:hr="t" fillcolor="#a0a0a0" stroked="f"/>
        </w:pict>
      </w:r>
    </w:p>
    <w:p w14:paraId="5C96E0C2" w14:textId="77777777" w:rsidR="00E065AD" w:rsidRDefault="00E065AD" w:rsidP="00E065AD">
      <w:pPr>
        <w:pStyle w:val="Heading3"/>
      </w:pPr>
      <w:r>
        <w:t>4. Subscription and Redemption Terms</w:t>
      </w:r>
    </w:p>
    <w:p w14:paraId="23394C65" w14:textId="77777777" w:rsidR="00E065AD" w:rsidRDefault="00E065AD" w:rsidP="00E065AD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Dealing Frequency:</w:t>
      </w:r>
      <w:r>
        <w:t xml:space="preserve"> Daily subscriptions and redemptions.</w:t>
      </w:r>
    </w:p>
    <w:p w14:paraId="3EDEAF5D" w14:textId="4FE58C61" w:rsidR="00E065AD" w:rsidRPr="00E065AD" w:rsidRDefault="00E065AD" w:rsidP="00E065AD">
      <w:pPr>
        <w:pStyle w:val="NormalWeb"/>
        <w:numPr>
          <w:ilvl w:val="0"/>
          <w:numId w:val="13"/>
        </w:numPr>
        <w:rPr>
          <w:rStyle w:val="Strong"/>
          <w:rFonts w:eastAsiaTheme="majorEastAsia"/>
        </w:rPr>
      </w:pPr>
      <w:r w:rsidRPr="00E065AD">
        <w:rPr>
          <w:rStyle w:val="Strong"/>
          <w:rFonts w:eastAsiaTheme="majorEastAsia"/>
        </w:rPr>
        <w:t>Notification deadline: 4:00 PM (fund time zone) the day before dealing.</w:t>
      </w:r>
    </w:p>
    <w:p w14:paraId="41110B32" w14:textId="77777777" w:rsidR="00E065AD" w:rsidRDefault="00E065AD" w:rsidP="00E065AD">
      <w:pPr>
        <w:pStyle w:val="NormalWeb"/>
        <w:numPr>
          <w:ilvl w:val="0"/>
          <w:numId w:val="14"/>
        </w:numPr>
      </w:pPr>
      <w:r>
        <w:rPr>
          <w:rStyle w:val="Strong"/>
          <w:rFonts w:eastAsiaTheme="majorEastAsia"/>
        </w:rPr>
        <w:t>Series Accounting / Equalisation:</w:t>
      </w:r>
    </w:p>
    <w:p w14:paraId="45E75AE6" w14:textId="77777777" w:rsidR="00E065AD" w:rsidRDefault="00E065AD" w:rsidP="00E065AD">
      <w:pPr>
        <w:pStyle w:val="NormalWeb"/>
        <w:numPr>
          <w:ilvl w:val="1"/>
          <w:numId w:val="14"/>
        </w:numPr>
      </w:pPr>
      <w:r>
        <w:rPr>
          <w:rStyle w:val="Strong"/>
          <w:rFonts w:eastAsiaTheme="majorEastAsia"/>
        </w:rPr>
        <w:t>Recommended:</w:t>
      </w:r>
      <w:r>
        <w:t xml:space="preserve"> Ensures fair allocation of performance fees, preventing new investors from subsidising older ones. Includes mid-period inflows/outflows in the fee model.</w:t>
      </w:r>
    </w:p>
    <w:p w14:paraId="57970C4F" w14:textId="77777777" w:rsidR="00E065AD" w:rsidRDefault="00000000" w:rsidP="00E065AD">
      <w:r>
        <w:pict w14:anchorId="03EDA530">
          <v:rect id="_x0000_i1029" style="width:0;height:1.5pt" o:hralign="center" o:hrstd="t" o:hr="t" fillcolor="#a0a0a0" stroked="f"/>
        </w:pict>
      </w:r>
    </w:p>
    <w:p w14:paraId="58C01BF9" w14:textId="77777777" w:rsidR="00E065AD" w:rsidRDefault="00E065AD" w:rsidP="00E065AD">
      <w:pPr>
        <w:pStyle w:val="Heading3"/>
      </w:pPr>
      <w:r>
        <w:t>5. Calculation and Reporting</w:t>
      </w:r>
    </w:p>
    <w:p w14:paraId="5CFE0129" w14:textId="77777777" w:rsidR="00E065AD" w:rsidRDefault="00E065AD" w:rsidP="00E065AD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NAV Calculation:</w:t>
      </w:r>
      <w:r>
        <w:t xml:space="preserve"> Daily</w:t>
      </w:r>
    </w:p>
    <w:p w14:paraId="177F7CB4" w14:textId="77777777" w:rsidR="00E065AD" w:rsidRDefault="00E065AD" w:rsidP="00E065AD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Fee Accrual:</w:t>
      </w:r>
    </w:p>
    <w:p w14:paraId="10DFD412" w14:textId="77777777" w:rsidR="00E065AD" w:rsidRDefault="00E065AD" w:rsidP="00E065AD">
      <w:pPr>
        <w:pStyle w:val="NormalWeb"/>
        <w:numPr>
          <w:ilvl w:val="1"/>
          <w:numId w:val="15"/>
        </w:numPr>
      </w:pPr>
      <w:r>
        <w:t>Base management fee, strategy maintenance charge, and performance fee accrued daily.</w:t>
      </w:r>
    </w:p>
    <w:p w14:paraId="75D75F5F" w14:textId="77777777" w:rsidR="00E065AD" w:rsidRDefault="00E065AD" w:rsidP="00E065AD">
      <w:pPr>
        <w:pStyle w:val="NormalWeb"/>
        <w:numPr>
          <w:ilvl w:val="1"/>
          <w:numId w:val="15"/>
        </w:numPr>
      </w:pPr>
      <w:r>
        <w:t>Daily NAV reflects accrued fees for fair dealing pricing.</w:t>
      </w:r>
    </w:p>
    <w:p w14:paraId="6272BF7D" w14:textId="77777777" w:rsidR="00E065AD" w:rsidRDefault="00E065AD" w:rsidP="00E065AD">
      <w:pPr>
        <w:pStyle w:val="NormalWeb"/>
        <w:numPr>
          <w:ilvl w:val="0"/>
          <w:numId w:val="15"/>
        </w:numPr>
      </w:pPr>
      <w:r>
        <w:rPr>
          <w:rStyle w:val="Strong"/>
          <w:rFonts w:eastAsiaTheme="majorEastAsia"/>
        </w:rPr>
        <w:t>Reporting:</w:t>
      </w:r>
    </w:p>
    <w:p w14:paraId="6729018A" w14:textId="77777777" w:rsidR="00E065AD" w:rsidRDefault="00E065AD" w:rsidP="00E065AD">
      <w:pPr>
        <w:pStyle w:val="NormalWeb"/>
        <w:numPr>
          <w:ilvl w:val="1"/>
          <w:numId w:val="15"/>
        </w:numPr>
      </w:pPr>
      <w:r>
        <w:t>Monthly investor reports to include fee breakdown.</w:t>
      </w:r>
    </w:p>
    <w:p w14:paraId="2B2CF0E3" w14:textId="77777777" w:rsidR="00E065AD" w:rsidRDefault="00E065AD" w:rsidP="00E065AD">
      <w:pPr>
        <w:pStyle w:val="NormalWeb"/>
        <w:numPr>
          <w:ilvl w:val="1"/>
          <w:numId w:val="15"/>
        </w:numPr>
      </w:pPr>
      <w:r>
        <w:t>Annual audit to verify fee calculation accuracy.</w:t>
      </w:r>
    </w:p>
    <w:p w14:paraId="76220190" w14:textId="77777777" w:rsidR="00E065AD" w:rsidRDefault="00000000" w:rsidP="00E065AD">
      <w:r>
        <w:pict w14:anchorId="4EE6C2A8">
          <v:rect id="_x0000_i1030" style="width:0;height:1.5pt" o:hralign="center" o:hrstd="t" o:hr="t" fillcolor="#a0a0a0" stroked="f"/>
        </w:pict>
      </w:r>
    </w:p>
    <w:p w14:paraId="11A2EDFF" w14:textId="77777777" w:rsidR="00E065AD" w:rsidRDefault="00E065AD" w:rsidP="00E065AD">
      <w:pPr>
        <w:pStyle w:val="Heading3"/>
      </w:pPr>
      <w:r>
        <w:t>6. Administrator and Auditor Notes</w:t>
      </w:r>
    </w:p>
    <w:p w14:paraId="32910CB4" w14:textId="77777777" w:rsidR="00E065AD" w:rsidRDefault="00E065AD" w:rsidP="00E065AD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Daily benchmark pricing required:</w:t>
      </w:r>
      <w:r>
        <w:t xml:space="preserve"> Use </w:t>
      </w:r>
      <w:proofErr w:type="spellStart"/>
      <w:r>
        <w:t>CoinMarketCap</w:t>
      </w:r>
      <w:proofErr w:type="spellEnd"/>
      <w:r>
        <w:t xml:space="preserve"> Bitcoin Spot Index with timestamped data.</w:t>
      </w:r>
    </w:p>
    <w:p w14:paraId="01A130A8" w14:textId="77777777" w:rsidR="00E065AD" w:rsidRDefault="00E065AD" w:rsidP="00E065AD">
      <w:pPr>
        <w:pStyle w:val="NormalWeb"/>
        <w:numPr>
          <w:ilvl w:val="0"/>
          <w:numId w:val="16"/>
        </w:numPr>
      </w:pPr>
      <w:r>
        <w:rPr>
          <w:rStyle w:val="Strong"/>
          <w:rFonts w:eastAsiaTheme="majorEastAsia"/>
        </w:rPr>
        <w:t>Systems requirement:</w:t>
      </w:r>
    </w:p>
    <w:p w14:paraId="1FD459A7" w14:textId="77777777" w:rsidR="00E065AD" w:rsidRDefault="00E065AD" w:rsidP="00E065AD">
      <w:pPr>
        <w:pStyle w:val="NormalWeb"/>
        <w:numPr>
          <w:ilvl w:val="1"/>
          <w:numId w:val="16"/>
        </w:numPr>
      </w:pPr>
      <w:r>
        <w:t>Daily NAV and fee accrual automation.</w:t>
      </w:r>
    </w:p>
    <w:p w14:paraId="30800D20" w14:textId="77777777" w:rsidR="00E065AD" w:rsidRDefault="00E065AD" w:rsidP="00E065AD">
      <w:pPr>
        <w:pStyle w:val="NormalWeb"/>
        <w:numPr>
          <w:ilvl w:val="1"/>
          <w:numId w:val="16"/>
        </w:numPr>
      </w:pPr>
      <w:r>
        <w:t>Monthly crystallisation automation.</w:t>
      </w:r>
    </w:p>
    <w:p w14:paraId="71686FB4" w14:textId="42DD7880" w:rsidR="004B35BD" w:rsidRDefault="00E065AD" w:rsidP="00070401">
      <w:pPr>
        <w:pStyle w:val="NormalWeb"/>
        <w:numPr>
          <w:ilvl w:val="1"/>
          <w:numId w:val="16"/>
        </w:numPr>
      </w:pPr>
      <w:r>
        <w:t>High-water mark tracking embedded in administrator's systems.</w:t>
      </w:r>
    </w:p>
    <w:sectPr w:rsidR="004B35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C83EC3"/>
    <w:multiLevelType w:val="multilevel"/>
    <w:tmpl w:val="018C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62A5B"/>
    <w:multiLevelType w:val="multilevel"/>
    <w:tmpl w:val="591C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8048CF"/>
    <w:multiLevelType w:val="multilevel"/>
    <w:tmpl w:val="EFC4B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56174B"/>
    <w:multiLevelType w:val="multilevel"/>
    <w:tmpl w:val="A3D47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B311F4"/>
    <w:multiLevelType w:val="multilevel"/>
    <w:tmpl w:val="D3B43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151747"/>
    <w:multiLevelType w:val="multilevel"/>
    <w:tmpl w:val="8CB0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6A2D27"/>
    <w:multiLevelType w:val="multilevel"/>
    <w:tmpl w:val="F462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5E7EDE"/>
    <w:multiLevelType w:val="multilevel"/>
    <w:tmpl w:val="9FB08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1000AB"/>
    <w:multiLevelType w:val="multilevel"/>
    <w:tmpl w:val="A2A2B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081FBC"/>
    <w:multiLevelType w:val="multilevel"/>
    <w:tmpl w:val="33686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4C4329"/>
    <w:multiLevelType w:val="multilevel"/>
    <w:tmpl w:val="6E066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C75B32"/>
    <w:multiLevelType w:val="multilevel"/>
    <w:tmpl w:val="A46C6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DB7BE2"/>
    <w:multiLevelType w:val="hybridMultilevel"/>
    <w:tmpl w:val="C2CCC928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2287D0D"/>
    <w:multiLevelType w:val="multilevel"/>
    <w:tmpl w:val="6CCA0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5D4ACB"/>
    <w:multiLevelType w:val="multilevel"/>
    <w:tmpl w:val="1F28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F0B28FD"/>
    <w:multiLevelType w:val="multilevel"/>
    <w:tmpl w:val="3A648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7290607">
    <w:abstractNumId w:val="6"/>
  </w:num>
  <w:num w:numId="2" w16cid:durableId="1888100747">
    <w:abstractNumId w:val="1"/>
  </w:num>
  <w:num w:numId="3" w16cid:durableId="761611296">
    <w:abstractNumId w:val="15"/>
  </w:num>
  <w:num w:numId="4" w16cid:durableId="1776051678">
    <w:abstractNumId w:val="8"/>
  </w:num>
  <w:num w:numId="5" w16cid:durableId="490752341">
    <w:abstractNumId w:val="11"/>
  </w:num>
  <w:num w:numId="6" w16cid:durableId="541862924">
    <w:abstractNumId w:val="2"/>
  </w:num>
  <w:num w:numId="7" w16cid:durableId="1746341667">
    <w:abstractNumId w:val="13"/>
  </w:num>
  <w:num w:numId="8" w16cid:durableId="2091392906">
    <w:abstractNumId w:val="14"/>
  </w:num>
  <w:num w:numId="9" w16cid:durableId="1164783860">
    <w:abstractNumId w:val="12"/>
  </w:num>
  <w:num w:numId="10" w16cid:durableId="1735473120">
    <w:abstractNumId w:val="0"/>
  </w:num>
  <w:num w:numId="11" w16cid:durableId="35012906">
    <w:abstractNumId w:val="9"/>
  </w:num>
  <w:num w:numId="12" w16cid:durableId="671835867">
    <w:abstractNumId w:val="5"/>
  </w:num>
  <w:num w:numId="13" w16cid:durableId="2061395681">
    <w:abstractNumId w:val="7"/>
  </w:num>
  <w:num w:numId="14" w16cid:durableId="650211729">
    <w:abstractNumId w:val="4"/>
  </w:num>
  <w:num w:numId="15" w16cid:durableId="1163352931">
    <w:abstractNumId w:val="3"/>
  </w:num>
  <w:num w:numId="16" w16cid:durableId="15550401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DF2"/>
    <w:rsid w:val="00070401"/>
    <w:rsid w:val="000B46DC"/>
    <w:rsid w:val="00151DF2"/>
    <w:rsid w:val="002363CC"/>
    <w:rsid w:val="003D0C25"/>
    <w:rsid w:val="003F709A"/>
    <w:rsid w:val="004B35BD"/>
    <w:rsid w:val="006C5330"/>
    <w:rsid w:val="00867EDE"/>
    <w:rsid w:val="00A93C41"/>
    <w:rsid w:val="00D246E4"/>
    <w:rsid w:val="00D34611"/>
    <w:rsid w:val="00E0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9B236"/>
  <w15:chartTrackingRefBased/>
  <w15:docId w15:val="{51D0B5EA-4869-41DA-B1E2-D9E4BCF5C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1D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D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1DF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1D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1DF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1D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1D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1D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1D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1DF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1DF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51DF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1DF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1DF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1D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1D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1D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1D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1D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1D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1D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1D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1D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1D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1D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1DF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1D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1DF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1DF2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151DF2"/>
    <w:rPr>
      <w:b/>
      <w:bCs/>
    </w:rPr>
  </w:style>
  <w:style w:type="character" w:styleId="Emphasis">
    <w:name w:val="Emphasis"/>
    <w:basedOn w:val="DefaultParagraphFont"/>
    <w:uiPriority w:val="20"/>
    <w:qFormat/>
    <w:rsid w:val="00151DF2"/>
    <w:rPr>
      <w:i/>
      <w:iCs/>
    </w:rPr>
  </w:style>
  <w:style w:type="paragraph" w:styleId="NormalWeb">
    <w:name w:val="Normal (Web)"/>
    <w:basedOn w:val="Normal"/>
    <w:uiPriority w:val="99"/>
    <w:unhideWhenUsed/>
    <w:rsid w:val="00E065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S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19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6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7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Hassett</dc:creator>
  <cp:keywords/>
  <dc:description/>
  <cp:lastModifiedBy>James Hassett</cp:lastModifiedBy>
  <cp:revision>5</cp:revision>
  <dcterms:created xsi:type="dcterms:W3CDTF">2025-04-09T07:46:00Z</dcterms:created>
  <dcterms:modified xsi:type="dcterms:W3CDTF">2025-04-09T09:06:00Z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2025-04-09T07:39:14Z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7d8d6b74-9a30-4510-b654-2aa1c012423c</vt:lpwstr>
  </property>
  <property fmtid="{D5CDD505-2E9C-101B-9397-08002B2CF9AE}" pid="7" name="MSIP_Label_defa4170-0d19-0005-0004-bc88714345d2_ActionId">
    <vt:lpwstr>0a7a4299-11f1-4a2b-b102-8890036ef0fe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