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Citrus Leaf Disease Classification</w:t>
      </w:r>
    </w:p>
    <w:p>
      <w:pPr>
        <w:jc w:val="center"/>
      </w:pPr>
      <w:r>
        <w:t>Deep Learning Model Comparison and Evaluation Report</w:t>
      </w:r>
    </w:p>
    <w:p>
      <w:pPr>
        <w:jc w:val="center"/>
      </w:pPr>
      <w:r>
        <w:t>Prepared from the recorded experiments on the supplied citrus leaf dataset.</w:t>
      </w:r>
    </w:p>
    <w:p>
      <w:r>
        <w:t>Report generated: 09 October 2026</w:t>
      </w:r>
    </w:p>
    <w:p>
      <w:pPr>
        <w:pStyle w:val="Heading1"/>
      </w:pPr>
      <w:r>
        <w:t>1. Executive Summary</w:t>
      </w:r>
    </w:p>
    <w:p>
      <w:r>
        <w:t>This project evaluates seven pretrained image-classification architectures for five citrus leaf classes: Black spot, Canker, Greening, Healthy, and Melanose. The reported experiments used the project's own dataset. Among the reported test results, ViT-B/16 achieved the highest test accuracy at 88.76%, with macro F1 of 0.8554 and weighted F1 of 0.8905.</w:t>
      </w:r>
    </w:p>
    <w:p>
      <w:pPr>
        <w:pStyle w:val="Heading1"/>
      </w:pPr>
      <w:r>
        <w:t>2. Dataset Description</w:t>
      </w:r>
    </w:p>
    <w:p>
      <w:r>
        <w:t>The recorded dataset contains 1,716 images across five classes. The class distribution is shown below.</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tcPr>
          <w:p>
            <w:r>
              <w:rPr>
                <w:b/>
                <w:sz w:val="18"/>
              </w:rPr>
              <w:t>Class</w:t>
            </w:r>
          </w:p>
        </w:tc>
        <w:tc>
          <w:tcPr>
            <w:tcW w:type="dxa" w:w="3456"/>
            <w:vAlign w:val="center"/>
          </w:tcPr>
          <w:p>
            <w:r>
              <w:rPr>
                <w:b/>
                <w:sz w:val="18"/>
              </w:rPr>
              <w:t>Image Count</w:t>
            </w:r>
          </w:p>
        </w:tc>
        <w:tc>
          <w:tcPr>
            <w:tcW w:type="dxa" w:w="3456"/>
            <w:vAlign w:val="center"/>
          </w:tcPr>
          <w:p>
            <w:r>
              <w:rPr>
                <w:b/>
                <w:sz w:val="18"/>
              </w:rPr>
              <w:t>Percentage</w:t>
            </w:r>
          </w:p>
        </w:tc>
      </w:tr>
      <w:tr>
        <w:tc>
          <w:tcPr>
            <w:tcW w:type="dxa" w:w="3456"/>
            <w:vAlign w:val="center"/>
          </w:tcPr>
          <w:p>
            <w:r>
              <w:rPr>
                <w:sz w:val="18"/>
              </w:rPr>
              <w:t>Black spot</w:t>
            </w:r>
          </w:p>
        </w:tc>
        <w:tc>
          <w:tcPr>
            <w:tcW w:type="dxa" w:w="3456"/>
            <w:vAlign w:val="center"/>
          </w:tcPr>
          <w:p>
            <w:r>
              <w:rPr>
                <w:sz w:val="18"/>
              </w:rPr>
              <w:t>238</w:t>
            </w:r>
          </w:p>
        </w:tc>
        <w:tc>
          <w:tcPr>
            <w:tcW w:type="dxa" w:w="3456"/>
            <w:vAlign w:val="center"/>
          </w:tcPr>
          <w:p>
            <w:r>
              <w:rPr>
                <w:sz w:val="18"/>
              </w:rPr>
              <w:t>13.87%</w:t>
            </w:r>
          </w:p>
        </w:tc>
      </w:tr>
      <w:tr>
        <w:tc>
          <w:tcPr>
            <w:tcW w:type="dxa" w:w="3456"/>
            <w:vAlign w:val="center"/>
          </w:tcPr>
          <w:p>
            <w:r>
              <w:rPr>
                <w:sz w:val="18"/>
              </w:rPr>
              <w:t>Canker</w:t>
            </w:r>
          </w:p>
        </w:tc>
        <w:tc>
          <w:tcPr>
            <w:tcW w:type="dxa" w:w="3456"/>
            <w:vAlign w:val="center"/>
          </w:tcPr>
          <w:p>
            <w:r>
              <w:rPr>
                <w:sz w:val="18"/>
              </w:rPr>
              <w:t>237</w:t>
            </w:r>
          </w:p>
        </w:tc>
        <w:tc>
          <w:tcPr>
            <w:tcW w:type="dxa" w:w="3456"/>
            <w:vAlign w:val="center"/>
          </w:tcPr>
          <w:p>
            <w:r>
              <w:rPr>
                <w:sz w:val="18"/>
              </w:rPr>
              <w:t>13.81%</w:t>
            </w:r>
          </w:p>
        </w:tc>
      </w:tr>
      <w:tr>
        <w:tc>
          <w:tcPr>
            <w:tcW w:type="dxa" w:w="3456"/>
            <w:vAlign w:val="center"/>
          </w:tcPr>
          <w:p>
            <w:r>
              <w:rPr>
                <w:sz w:val="18"/>
              </w:rPr>
              <w:t>Greening</w:t>
            </w:r>
          </w:p>
        </w:tc>
        <w:tc>
          <w:tcPr>
            <w:tcW w:type="dxa" w:w="3456"/>
            <w:vAlign w:val="center"/>
          </w:tcPr>
          <w:p>
            <w:r>
              <w:rPr>
                <w:sz w:val="18"/>
              </w:rPr>
              <w:t>220</w:t>
            </w:r>
          </w:p>
        </w:tc>
        <w:tc>
          <w:tcPr>
            <w:tcW w:type="dxa" w:w="3456"/>
            <w:vAlign w:val="center"/>
          </w:tcPr>
          <w:p>
            <w:r>
              <w:rPr>
                <w:sz w:val="18"/>
              </w:rPr>
              <w:t>12.82%</w:t>
            </w:r>
          </w:p>
        </w:tc>
      </w:tr>
      <w:tr>
        <w:tc>
          <w:tcPr>
            <w:tcW w:type="dxa" w:w="3456"/>
            <w:vAlign w:val="center"/>
          </w:tcPr>
          <w:p>
            <w:r>
              <w:rPr>
                <w:sz w:val="18"/>
              </w:rPr>
              <w:t>Healthy</w:t>
            </w:r>
          </w:p>
        </w:tc>
        <w:tc>
          <w:tcPr>
            <w:tcW w:type="dxa" w:w="3456"/>
            <w:vAlign w:val="center"/>
          </w:tcPr>
          <w:p>
            <w:r>
              <w:rPr>
                <w:sz w:val="18"/>
              </w:rPr>
              <w:t>705</w:t>
            </w:r>
          </w:p>
        </w:tc>
        <w:tc>
          <w:tcPr>
            <w:tcW w:type="dxa" w:w="3456"/>
            <w:vAlign w:val="center"/>
          </w:tcPr>
          <w:p>
            <w:r>
              <w:rPr>
                <w:sz w:val="18"/>
              </w:rPr>
              <w:t>41.08%</w:t>
            </w:r>
          </w:p>
        </w:tc>
      </w:tr>
      <w:tr>
        <w:tc>
          <w:tcPr>
            <w:tcW w:type="dxa" w:w="3456"/>
            <w:vAlign w:val="center"/>
          </w:tcPr>
          <w:p>
            <w:r>
              <w:rPr>
                <w:sz w:val="18"/>
              </w:rPr>
              <w:t>Melanose</w:t>
            </w:r>
          </w:p>
        </w:tc>
        <w:tc>
          <w:tcPr>
            <w:tcW w:type="dxa" w:w="3456"/>
            <w:vAlign w:val="center"/>
          </w:tcPr>
          <w:p>
            <w:r>
              <w:rPr>
                <w:sz w:val="18"/>
              </w:rPr>
              <w:t>316</w:t>
            </w:r>
          </w:p>
        </w:tc>
        <w:tc>
          <w:tcPr>
            <w:tcW w:type="dxa" w:w="3456"/>
            <w:vAlign w:val="center"/>
          </w:tcPr>
          <w:p>
            <w:r>
              <w:rPr>
                <w:sz w:val="18"/>
              </w:rPr>
              <w:t>18.41%</w:t>
            </w:r>
          </w:p>
        </w:tc>
      </w:tr>
    </w:tbl>
    <w:p>
      <w:r>
        <w:t>The dataset is imbalanced: Healthy has the largest number of images. Class-wise precision, recall, and F1 should therefore be considered alongside overall accuracy.</w:t>
      </w:r>
    </w:p>
    <w:p>
      <w:pPr>
        <w:pStyle w:val="Heading1"/>
      </w:pPr>
      <w:r>
        <w:t>3. Methodology</w:t>
      </w:r>
    </w:p>
    <w:p>
      <w:r>
        <w:t>The models are based on pretrained architectures. In the recorded repository-based experiments, the feature backbone was frozen and the classification head was replaced for the five target classes. Training used eight epochs in the experiments summarized here. The recorded pipeline used image resizing/cropping, online training augmentation, ImageNet normalization, weighted cross-entropy loss with label smoothing, and an adaptive learning-rate scheduler.</w:t>
      </w:r>
    </w:p>
    <w:p>
      <w:r>
        <w:t>Five models—ViT-B/16, MobileNetV3-Large, ConvNeXt-Tiny, Swin-Tiny, and MobileViT-Small—used the same saved stratified split with seed 42. ResNet34 and EfficientNet-B0 were earlier experiments with different splits.</w:t>
      </w:r>
    </w:p>
    <w:p>
      <w:pPr>
        <w:pStyle w:val="Heading1"/>
      </w:pPr>
      <w:r>
        <w:t>4. Model Comparison</w:t>
      </w:r>
    </w:p>
    <w:p>
      <w:r>
        <w:t>Validation accuracy reflects model selection on the validation data. Test accuracy reflects the recorded held-out test evaluation. F1 values for ResNet34 and EfficientNet-B0 are rounded historical values; the remaining values are taken from their recorded reports.</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c>
          <w:tcPr>
            <w:tcW w:type="dxa" w:w="1728"/>
            <w:vAlign w:val="center"/>
          </w:tcPr>
          <w:p>
            <w:r>
              <w:rPr>
                <w:b/>
                <w:sz w:val="14"/>
              </w:rPr>
              <w:t>Model</w:t>
            </w:r>
          </w:p>
        </w:tc>
        <w:tc>
          <w:tcPr>
            <w:tcW w:type="dxa" w:w="1728"/>
            <w:vAlign w:val="center"/>
          </w:tcPr>
          <w:p>
            <w:r>
              <w:rPr>
                <w:b/>
                <w:sz w:val="14"/>
              </w:rPr>
              <w:t>Best Val.</w:t>
            </w:r>
          </w:p>
        </w:tc>
        <w:tc>
          <w:tcPr>
            <w:tcW w:type="dxa" w:w="1728"/>
            <w:vAlign w:val="center"/>
          </w:tcPr>
          <w:p>
            <w:r>
              <w:rPr>
                <w:b/>
                <w:sz w:val="14"/>
              </w:rPr>
              <w:t>Test Acc.</w:t>
            </w:r>
          </w:p>
        </w:tc>
        <w:tc>
          <w:tcPr>
            <w:tcW w:type="dxa" w:w="1728"/>
            <w:vAlign w:val="center"/>
          </w:tcPr>
          <w:p>
            <w:r>
              <w:rPr>
                <w:b/>
                <w:sz w:val="14"/>
              </w:rPr>
              <w:t>Macro F1</w:t>
            </w:r>
          </w:p>
        </w:tc>
        <w:tc>
          <w:tcPr>
            <w:tcW w:type="dxa" w:w="1728"/>
            <w:vAlign w:val="center"/>
          </w:tcPr>
          <w:p>
            <w:r>
              <w:rPr>
                <w:b/>
                <w:sz w:val="14"/>
              </w:rPr>
              <w:t>Weighted F1</w:t>
            </w:r>
          </w:p>
        </w:tc>
        <w:tc>
          <w:tcPr>
            <w:tcW w:type="dxa" w:w="1728"/>
            <w:vAlign w:val="center"/>
          </w:tcPr>
          <w:p>
            <w:r>
              <w:rPr>
                <w:b/>
                <w:sz w:val="14"/>
              </w:rPr>
              <w:t>Time (min)</w:t>
            </w:r>
          </w:p>
        </w:tc>
      </w:tr>
      <w:tr>
        <w:tc>
          <w:tcPr>
            <w:tcW w:type="dxa" w:w="1728"/>
            <w:vAlign w:val="center"/>
          </w:tcPr>
          <w:p>
            <w:r>
              <w:rPr>
                <w:sz w:val="14"/>
              </w:rPr>
              <w:t>ResNet34</w:t>
            </w:r>
          </w:p>
        </w:tc>
        <w:tc>
          <w:tcPr>
            <w:tcW w:type="dxa" w:w="1728"/>
            <w:vAlign w:val="center"/>
          </w:tcPr>
          <w:p>
            <w:r>
              <w:rPr>
                <w:sz w:val="14"/>
              </w:rPr>
              <w:t>70.43%</w:t>
            </w:r>
          </w:p>
        </w:tc>
        <w:tc>
          <w:tcPr>
            <w:tcW w:type="dxa" w:w="1728"/>
            <w:vAlign w:val="center"/>
          </w:tcPr>
          <w:p>
            <w:r>
              <w:rPr>
                <w:sz w:val="14"/>
              </w:rPr>
              <w:t>76.74%</w:t>
            </w:r>
          </w:p>
        </w:tc>
        <w:tc>
          <w:tcPr>
            <w:tcW w:type="dxa" w:w="1728"/>
            <w:vAlign w:val="center"/>
          </w:tcPr>
          <w:p>
            <w:r>
              <w:rPr>
                <w:sz w:val="14"/>
              </w:rPr>
              <w:t>0.7500</w:t>
            </w:r>
          </w:p>
        </w:tc>
        <w:tc>
          <w:tcPr>
            <w:tcW w:type="dxa" w:w="1728"/>
            <w:vAlign w:val="center"/>
          </w:tcPr>
          <w:p>
            <w:r>
              <w:rPr>
                <w:sz w:val="14"/>
              </w:rPr>
              <w:t>0.7800</w:t>
            </w:r>
          </w:p>
        </w:tc>
        <w:tc>
          <w:tcPr>
            <w:tcW w:type="dxa" w:w="1728"/>
            <w:vAlign w:val="center"/>
          </w:tcPr>
          <w:p>
            <w:r>
              <w:rPr>
                <w:sz w:val="14"/>
              </w:rPr>
              <w:t>N/A</w:t>
            </w:r>
          </w:p>
        </w:tc>
      </w:tr>
      <w:tr>
        <w:tc>
          <w:tcPr>
            <w:tcW w:type="dxa" w:w="1728"/>
            <w:vAlign w:val="center"/>
          </w:tcPr>
          <w:p>
            <w:r>
              <w:rPr>
                <w:sz w:val="14"/>
              </w:rPr>
              <w:t>EfficientNet-B0</w:t>
            </w:r>
          </w:p>
        </w:tc>
        <w:tc>
          <w:tcPr>
            <w:tcW w:type="dxa" w:w="1728"/>
            <w:vAlign w:val="center"/>
          </w:tcPr>
          <w:p>
            <w:r>
              <w:rPr>
                <w:sz w:val="14"/>
              </w:rPr>
              <w:t>86.38%</w:t>
            </w:r>
          </w:p>
        </w:tc>
        <w:tc>
          <w:tcPr>
            <w:tcW w:type="dxa" w:w="1728"/>
            <w:vAlign w:val="center"/>
          </w:tcPr>
          <w:p>
            <w:r>
              <w:rPr>
                <w:sz w:val="14"/>
              </w:rPr>
              <w:t>88.37%</w:t>
            </w:r>
          </w:p>
        </w:tc>
        <w:tc>
          <w:tcPr>
            <w:tcW w:type="dxa" w:w="1728"/>
            <w:vAlign w:val="center"/>
          </w:tcPr>
          <w:p>
            <w:r>
              <w:rPr>
                <w:sz w:val="14"/>
              </w:rPr>
              <w:t>0.8500</w:t>
            </w:r>
          </w:p>
        </w:tc>
        <w:tc>
          <w:tcPr>
            <w:tcW w:type="dxa" w:w="1728"/>
            <w:vAlign w:val="center"/>
          </w:tcPr>
          <w:p>
            <w:r>
              <w:rPr>
                <w:sz w:val="14"/>
              </w:rPr>
              <w:t>0.8800</w:t>
            </w:r>
          </w:p>
        </w:tc>
        <w:tc>
          <w:tcPr>
            <w:tcW w:type="dxa" w:w="1728"/>
            <w:vAlign w:val="center"/>
          </w:tcPr>
          <w:p>
            <w:r>
              <w:rPr>
                <w:sz w:val="14"/>
              </w:rPr>
              <w:t>N/A</w:t>
            </w:r>
          </w:p>
        </w:tc>
      </w:tr>
      <w:tr>
        <w:tc>
          <w:tcPr>
            <w:tcW w:type="dxa" w:w="1728"/>
            <w:vAlign w:val="center"/>
          </w:tcPr>
          <w:p>
            <w:r>
              <w:rPr>
                <w:sz w:val="14"/>
              </w:rPr>
              <w:t>ViT-B/16</w:t>
            </w:r>
          </w:p>
        </w:tc>
        <w:tc>
          <w:tcPr>
            <w:tcW w:type="dxa" w:w="1728"/>
            <w:vAlign w:val="center"/>
          </w:tcPr>
          <w:p>
            <w:r>
              <w:rPr>
                <w:sz w:val="14"/>
              </w:rPr>
              <w:t>88.33%</w:t>
            </w:r>
          </w:p>
        </w:tc>
        <w:tc>
          <w:tcPr>
            <w:tcW w:type="dxa" w:w="1728"/>
            <w:vAlign w:val="center"/>
          </w:tcPr>
          <w:p>
            <w:r>
              <w:rPr>
                <w:sz w:val="14"/>
              </w:rPr>
              <w:t>88.76%</w:t>
            </w:r>
          </w:p>
        </w:tc>
        <w:tc>
          <w:tcPr>
            <w:tcW w:type="dxa" w:w="1728"/>
            <w:vAlign w:val="center"/>
          </w:tcPr>
          <w:p>
            <w:r>
              <w:rPr>
                <w:sz w:val="14"/>
              </w:rPr>
              <w:t>0.8554</w:t>
            </w:r>
          </w:p>
        </w:tc>
        <w:tc>
          <w:tcPr>
            <w:tcW w:type="dxa" w:w="1728"/>
            <w:vAlign w:val="center"/>
          </w:tcPr>
          <w:p>
            <w:r>
              <w:rPr>
                <w:sz w:val="14"/>
              </w:rPr>
              <w:t>0.8905</w:t>
            </w:r>
          </w:p>
        </w:tc>
        <w:tc>
          <w:tcPr>
            <w:tcW w:type="dxa" w:w="1728"/>
            <w:vAlign w:val="center"/>
          </w:tcPr>
          <w:p>
            <w:r>
              <w:rPr>
                <w:sz w:val="14"/>
              </w:rPr>
              <w:t>7.13</w:t>
            </w:r>
          </w:p>
        </w:tc>
      </w:tr>
      <w:tr>
        <w:tc>
          <w:tcPr>
            <w:tcW w:type="dxa" w:w="1728"/>
            <w:vAlign w:val="center"/>
          </w:tcPr>
          <w:p>
            <w:r>
              <w:rPr>
                <w:sz w:val="14"/>
              </w:rPr>
              <w:t>MobileNetV3-Large</w:t>
            </w:r>
          </w:p>
        </w:tc>
        <w:tc>
          <w:tcPr>
            <w:tcW w:type="dxa" w:w="1728"/>
            <w:vAlign w:val="center"/>
          </w:tcPr>
          <w:p>
            <w:r>
              <w:rPr>
                <w:sz w:val="14"/>
              </w:rPr>
              <w:t>73.15%</w:t>
            </w:r>
          </w:p>
        </w:tc>
        <w:tc>
          <w:tcPr>
            <w:tcW w:type="dxa" w:w="1728"/>
            <w:vAlign w:val="center"/>
          </w:tcPr>
          <w:p>
            <w:r>
              <w:rPr>
                <w:sz w:val="14"/>
              </w:rPr>
              <w:t>77.52%</w:t>
            </w:r>
          </w:p>
        </w:tc>
        <w:tc>
          <w:tcPr>
            <w:tcW w:type="dxa" w:w="1728"/>
            <w:vAlign w:val="center"/>
          </w:tcPr>
          <w:p>
            <w:r>
              <w:rPr>
                <w:sz w:val="14"/>
              </w:rPr>
              <w:t>0.7459</w:t>
            </w:r>
          </w:p>
        </w:tc>
        <w:tc>
          <w:tcPr>
            <w:tcW w:type="dxa" w:w="1728"/>
            <w:vAlign w:val="center"/>
          </w:tcPr>
          <w:p>
            <w:r>
              <w:rPr>
                <w:sz w:val="14"/>
              </w:rPr>
              <w:t>0.7849</w:t>
            </w:r>
          </w:p>
        </w:tc>
        <w:tc>
          <w:tcPr>
            <w:tcW w:type="dxa" w:w="1728"/>
            <w:vAlign w:val="center"/>
          </w:tcPr>
          <w:p>
            <w:r>
              <w:rPr>
                <w:sz w:val="14"/>
              </w:rPr>
              <w:t>1.16</w:t>
            </w:r>
          </w:p>
        </w:tc>
      </w:tr>
      <w:tr>
        <w:tc>
          <w:tcPr>
            <w:tcW w:type="dxa" w:w="1728"/>
            <w:vAlign w:val="center"/>
          </w:tcPr>
          <w:p>
            <w:r>
              <w:rPr>
                <w:sz w:val="14"/>
              </w:rPr>
              <w:t>ConvNeXt-Tiny</w:t>
            </w:r>
          </w:p>
        </w:tc>
        <w:tc>
          <w:tcPr>
            <w:tcW w:type="dxa" w:w="1728"/>
            <w:vAlign w:val="center"/>
          </w:tcPr>
          <w:p>
            <w:r>
              <w:rPr>
                <w:sz w:val="14"/>
              </w:rPr>
              <w:t>81.71%</w:t>
            </w:r>
          </w:p>
        </w:tc>
        <w:tc>
          <w:tcPr>
            <w:tcW w:type="dxa" w:w="1728"/>
            <w:vAlign w:val="center"/>
          </w:tcPr>
          <w:p>
            <w:r>
              <w:rPr>
                <w:sz w:val="14"/>
              </w:rPr>
              <w:t>85.27%</w:t>
            </w:r>
          </w:p>
        </w:tc>
        <w:tc>
          <w:tcPr>
            <w:tcW w:type="dxa" w:w="1728"/>
            <w:vAlign w:val="center"/>
          </w:tcPr>
          <w:p>
            <w:r>
              <w:rPr>
                <w:sz w:val="14"/>
              </w:rPr>
              <w:t>0.8269</w:t>
            </w:r>
          </w:p>
        </w:tc>
        <w:tc>
          <w:tcPr>
            <w:tcW w:type="dxa" w:w="1728"/>
            <w:vAlign w:val="center"/>
          </w:tcPr>
          <w:p>
            <w:r>
              <w:rPr>
                <w:sz w:val="14"/>
              </w:rPr>
              <w:t>0.8586</w:t>
            </w:r>
          </w:p>
        </w:tc>
        <w:tc>
          <w:tcPr>
            <w:tcW w:type="dxa" w:w="1728"/>
            <w:vAlign w:val="center"/>
          </w:tcPr>
          <w:p>
            <w:r>
              <w:rPr>
                <w:sz w:val="14"/>
              </w:rPr>
              <w:t>1.39</w:t>
            </w:r>
          </w:p>
        </w:tc>
      </w:tr>
      <w:tr>
        <w:tc>
          <w:tcPr>
            <w:tcW w:type="dxa" w:w="1728"/>
            <w:vAlign w:val="center"/>
          </w:tcPr>
          <w:p>
            <w:r>
              <w:rPr>
                <w:sz w:val="14"/>
              </w:rPr>
              <w:t>Swin-Tiny</w:t>
            </w:r>
          </w:p>
        </w:tc>
        <w:tc>
          <w:tcPr>
            <w:tcW w:type="dxa" w:w="1728"/>
            <w:vAlign w:val="center"/>
          </w:tcPr>
          <w:p>
            <w:r>
              <w:rPr>
                <w:sz w:val="14"/>
              </w:rPr>
              <w:t>85.21%</w:t>
            </w:r>
          </w:p>
        </w:tc>
        <w:tc>
          <w:tcPr>
            <w:tcW w:type="dxa" w:w="1728"/>
            <w:vAlign w:val="center"/>
          </w:tcPr>
          <w:p>
            <w:r>
              <w:rPr>
                <w:sz w:val="14"/>
              </w:rPr>
              <w:t>85.27%</w:t>
            </w:r>
          </w:p>
        </w:tc>
        <w:tc>
          <w:tcPr>
            <w:tcW w:type="dxa" w:w="1728"/>
            <w:vAlign w:val="center"/>
          </w:tcPr>
          <w:p>
            <w:r>
              <w:rPr>
                <w:sz w:val="14"/>
              </w:rPr>
              <w:t>0.8222</w:t>
            </w:r>
          </w:p>
        </w:tc>
        <w:tc>
          <w:tcPr>
            <w:tcW w:type="dxa" w:w="1728"/>
            <w:vAlign w:val="center"/>
          </w:tcPr>
          <w:p>
            <w:r>
              <w:rPr>
                <w:sz w:val="14"/>
              </w:rPr>
              <w:t>0.8566</w:t>
            </w:r>
          </w:p>
        </w:tc>
        <w:tc>
          <w:tcPr>
            <w:tcW w:type="dxa" w:w="1728"/>
            <w:vAlign w:val="center"/>
          </w:tcPr>
          <w:p>
            <w:r>
              <w:rPr>
                <w:sz w:val="14"/>
              </w:rPr>
              <w:t>1.33</w:t>
            </w:r>
          </w:p>
        </w:tc>
      </w:tr>
      <w:tr>
        <w:tc>
          <w:tcPr>
            <w:tcW w:type="dxa" w:w="1728"/>
            <w:vAlign w:val="center"/>
          </w:tcPr>
          <w:p>
            <w:r>
              <w:rPr>
                <w:sz w:val="14"/>
              </w:rPr>
              <w:t>MobileViT-Small</w:t>
            </w:r>
          </w:p>
        </w:tc>
        <w:tc>
          <w:tcPr>
            <w:tcW w:type="dxa" w:w="1728"/>
            <w:vAlign w:val="center"/>
          </w:tcPr>
          <w:p>
            <w:r>
              <w:rPr>
                <w:sz w:val="14"/>
              </w:rPr>
              <w:t>78.60%</w:t>
            </w:r>
          </w:p>
        </w:tc>
        <w:tc>
          <w:tcPr>
            <w:tcW w:type="dxa" w:w="1728"/>
            <w:vAlign w:val="center"/>
          </w:tcPr>
          <w:p>
            <w:r>
              <w:rPr>
                <w:sz w:val="14"/>
              </w:rPr>
              <w:t>81.40%</w:t>
            </w:r>
          </w:p>
        </w:tc>
        <w:tc>
          <w:tcPr>
            <w:tcW w:type="dxa" w:w="1728"/>
            <w:vAlign w:val="center"/>
          </w:tcPr>
          <w:p>
            <w:r>
              <w:rPr>
                <w:sz w:val="14"/>
              </w:rPr>
              <w:t>0.7731</w:t>
            </w:r>
          </w:p>
        </w:tc>
        <w:tc>
          <w:tcPr>
            <w:tcW w:type="dxa" w:w="1728"/>
            <w:vAlign w:val="center"/>
          </w:tcPr>
          <w:p>
            <w:r>
              <w:rPr>
                <w:sz w:val="14"/>
              </w:rPr>
              <w:t>0.8137</w:t>
            </w:r>
          </w:p>
        </w:tc>
        <w:tc>
          <w:tcPr>
            <w:tcW w:type="dxa" w:w="1728"/>
            <w:vAlign w:val="center"/>
          </w:tcPr>
          <w:p>
            <w:r>
              <w:rPr>
                <w:sz w:val="14"/>
              </w:rPr>
              <w:t>1.24</w:t>
            </w:r>
          </w:p>
        </w:tc>
      </w:tr>
    </w:tbl>
    <w:p>
      <w:pPr>
        <w:pStyle w:val="Heading1"/>
      </w:pPr>
      <w:r>
        <w:t>5. Interpretation of Results</w:t>
      </w:r>
    </w:p>
    <w:p>
      <w:r>
        <w:t>ViT-B/16 has the highest recorded test accuracy among these runs. EfficientNet-B0 also recorded strong accuracy, but it used a different data split, so its score should not be directly ranked against the five shared-split models as if the comparison were controlled.</w:t>
      </w:r>
    </w:p>
    <w:p>
      <w:r>
        <w:t>MobileViT-Small achieved 81.40% test accuracy. Its recorded Black spot recall was 0.4444, indicating that many Black spot samples were predicted as other classes. This illustrates why class-wise evaluation is important in a plant-disease classification task.</w:t>
      </w:r>
    </w:p>
    <w:p>
      <w:r>
        <w:t>The class-wise reports and confusion matrices are included in each model's results folder when available.</w:t>
      </w:r>
    </w:p>
    <w:p>
      <w:pPr>
        <w:pStyle w:val="Heading1"/>
      </w:pPr>
      <w:r>
        <w:t>6. Confusion Matrices</w:t>
      </w:r>
    </w:p>
    <w:p>
      <w:pPr>
        <w:pStyle w:val="Heading2"/>
      </w:pPr>
      <w:r>
        <w:t>ResNet34</w:t>
      </w:r>
    </w:p>
    <w:p>
      <w:pPr>
        <w:jc w:val="center"/>
      </w:pPr>
      <w:r>
        <w:drawing>
          <wp:inline xmlns:a="http://schemas.openxmlformats.org/drawingml/2006/main" xmlns:pic="http://schemas.openxmlformats.org/drawingml/2006/picture">
            <wp:extent cx="5212080" cy="4641254"/>
            <wp:docPr id="1" name="Picture 1"/>
            <wp:cNvGraphicFramePr>
              <a:graphicFrameLocks noChangeAspect="1"/>
            </wp:cNvGraphicFramePr>
            <a:graphic>
              <a:graphicData uri="http://schemas.openxmlformats.org/drawingml/2006/picture">
                <pic:pic>
                  <pic:nvPicPr>
                    <pic:cNvPr id="0" name="confusion_matrix_reconstructed.png"/>
                    <pic:cNvPicPr/>
                  </pic:nvPicPr>
                  <pic:blipFill>
                    <a:blip r:embed="rId9"/>
                    <a:stretch>
                      <a:fillRect/>
                    </a:stretch>
                  </pic:blipFill>
                  <pic:spPr>
                    <a:xfrm>
                      <a:off x="0" y="0"/>
                      <a:ext cx="5212080" cy="4641254"/>
                    </a:xfrm>
                    <a:prstGeom prst="rect"/>
                  </pic:spPr>
                </pic:pic>
              </a:graphicData>
            </a:graphic>
          </wp:inline>
        </w:drawing>
      </w:r>
    </w:p>
    <w:p>
      <w:r>
        <w:t>Classification report:</w:t>
      </w:r>
    </w:p>
    <w:p>
      <w:r>
        <w:rPr>
          <w:rFonts w:ascii="Courier New" w:hAnsi="Courier New"/>
          <w:sz w:val="14"/>
        </w:rPr>
        <w:t xml:space="preserve">              precision    recall  f1-score   support</w:t>
        <w:br/>
        <w:br/>
        <w:t xml:space="preserve">  Black spot       0.54      0.75      0.63        36</w:t>
        <w:br/>
        <w:t xml:space="preserve">      Canker       0.74      0.91      0.82        35</w:t>
        <w:br/>
        <w:t xml:space="preserve">    Greening       0.56      0.67      0.61        33</w:t>
        <w:br/>
        <w:t xml:space="preserve">     Healthy       0.95      0.74      0.83       106</w:t>
        <w:br/>
        <w:t xml:space="preserve">    Melanose       0.89      0.81      0.85        48</w:t>
        <w:br/>
        <w:br/>
        <w:t xml:space="preserve">    accuracy                           0.77       258</w:t>
        <w:br/>
        <w:t xml:space="preserve">   macro avg       0.74      0.78      0.75       258</w:t>
        <w:br/>
        <w:t>weighted avg       0.80      0.77      0.78       258</w:t>
        <w:br/>
      </w:r>
    </w:p>
    <w:p>
      <w:pPr>
        <w:pStyle w:val="Heading2"/>
      </w:pPr>
      <w:r>
        <w:t>EfficientNet-B0</w:t>
      </w:r>
    </w:p>
    <w:p>
      <w:pPr>
        <w:jc w:val="center"/>
      </w:pPr>
      <w:r>
        <w:drawing>
          <wp:inline xmlns:a="http://schemas.openxmlformats.org/drawingml/2006/main" xmlns:pic="http://schemas.openxmlformats.org/drawingml/2006/picture">
            <wp:extent cx="5212080" cy="4641254"/>
            <wp:docPr id="2" name="Picture 2"/>
            <wp:cNvGraphicFramePr>
              <a:graphicFrameLocks noChangeAspect="1"/>
            </wp:cNvGraphicFramePr>
            <a:graphic>
              <a:graphicData uri="http://schemas.openxmlformats.org/drawingml/2006/picture">
                <pic:pic>
                  <pic:nvPicPr>
                    <pic:cNvPr id="0" name="confusion_matrix_reconstructed.png"/>
                    <pic:cNvPicPr/>
                  </pic:nvPicPr>
                  <pic:blipFill>
                    <a:blip r:embed="rId10"/>
                    <a:stretch>
                      <a:fillRect/>
                    </a:stretch>
                  </pic:blipFill>
                  <pic:spPr>
                    <a:xfrm>
                      <a:off x="0" y="0"/>
                      <a:ext cx="5212080" cy="4641254"/>
                    </a:xfrm>
                    <a:prstGeom prst="rect"/>
                  </pic:spPr>
                </pic:pic>
              </a:graphicData>
            </a:graphic>
          </wp:inline>
        </w:drawing>
      </w:r>
    </w:p>
    <w:p>
      <w:r>
        <w:t>Classification report:</w:t>
      </w:r>
    </w:p>
    <w:p>
      <w:r>
        <w:rPr>
          <w:rFonts w:ascii="Courier New" w:hAnsi="Courier New"/>
          <w:sz w:val="14"/>
        </w:rPr>
        <w:t xml:space="preserve">              precision    recall  f1-score   support</w:t>
        <w:br/>
        <w:br/>
        <w:t xml:space="preserve">  Black spot       0.86      0.69      0.77        36</w:t>
        <w:br/>
        <w:t xml:space="preserve">      Canker       0.82      0.94      0.88        35</w:t>
        <w:br/>
        <w:t xml:space="preserve">    Greening       0.69      0.88      0.77        33</w:t>
        <w:br/>
        <w:t xml:space="preserve">     Healthy       0.99      0.90      0.94       106</w:t>
        <w:br/>
        <w:t xml:space="preserve">    Melanose       0.88      0.94      0.91        48</w:t>
        <w:br/>
        <w:br/>
        <w:t xml:space="preserve">    accuracy                           0.88       258</w:t>
        <w:br/>
        <w:t xml:space="preserve">   macro avg       0.85      0.87      0.85       258</w:t>
        <w:br/>
        <w:t>weighted avg       0.89      0.88      0.88       258</w:t>
        <w:br/>
      </w:r>
    </w:p>
    <w:p>
      <w:pPr>
        <w:pStyle w:val="Heading2"/>
      </w:pPr>
      <w:r>
        <w:t>ViT-B/16</w:t>
      </w:r>
    </w:p>
    <w:p>
      <w:pPr>
        <w:jc w:val="center"/>
      </w:pPr>
      <w:r>
        <w:drawing>
          <wp:inline xmlns:a="http://schemas.openxmlformats.org/drawingml/2006/main" xmlns:pic="http://schemas.openxmlformats.org/drawingml/2006/picture">
            <wp:extent cx="5212080" cy="4467497"/>
            <wp:docPr id="3" name="Picture 3"/>
            <wp:cNvGraphicFramePr>
              <a:graphicFrameLocks noChangeAspect="1"/>
            </wp:cNvGraphicFramePr>
            <a:graphic>
              <a:graphicData uri="http://schemas.openxmlformats.org/drawingml/2006/picture">
                <pic:pic>
                  <pic:nvPicPr>
                    <pic:cNvPr id="0" name="confusion_matrix.png"/>
                    <pic:cNvPicPr/>
                  </pic:nvPicPr>
                  <pic:blipFill>
                    <a:blip r:embed="rId11"/>
                    <a:stretch>
                      <a:fillRect/>
                    </a:stretch>
                  </pic:blipFill>
                  <pic:spPr>
                    <a:xfrm>
                      <a:off x="0" y="0"/>
                      <a:ext cx="5212080" cy="4467497"/>
                    </a:xfrm>
                    <a:prstGeom prst="rect"/>
                  </pic:spPr>
                </pic:pic>
              </a:graphicData>
            </a:graphic>
          </wp:inline>
        </w:drawing>
      </w:r>
    </w:p>
    <w:p>
      <w:r>
        <w:t>Classification report:</w:t>
      </w:r>
    </w:p>
    <w:p>
      <w:r>
        <w:rPr>
          <w:rFonts w:ascii="Courier New" w:hAnsi="Courier New"/>
          <w:sz w:val="14"/>
        </w:rPr>
        <w:t>Best validation accuracy: 0.883268</w:t>
        <w:br/>
        <w:t>Test accuracy: 0.887597</w:t>
        <w:br/>
        <w:t>Training duration seconds: 427.85</w:t>
        <w:br/>
        <w:br/>
        <w:t xml:space="preserve">              precision    recall  f1-score   support</w:t>
        <w:br/>
        <w:br/>
        <w:t xml:space="preserve">  Black spot     0.7576    0.6944    0.7246        36</w:t>
        <w:br/>
        <w:t xml:space="preserve">      Canker     0.8824    0.8571    0.8696        35</w:t>
        <w:br/>
        <w:t xml:space="preserve">    Greening     0.6591    0.8788    0.7532        33</w:t>
        <w:br/>
        <w:t xml:space="preserve">     Healthy     0.9900    0.9340    0.9612       106</w:t>
        <w:br/>
        <w:t xml:space="preserve">    Melanose     0.9787    0.9583    0.9684        48</w:t>
        <w:br/>
        <w:br/>
        <w:t xml:space="preserve">    accuracy                         0.8876       258</w:t>
        <w:br/>
        <w:t xml:space="preserve">   macro avg     0.8535    0.8645    0.8554       258</w:t>
        <w:br/>
        <w:t>weighted avg     0.8985    0.8876    0.8905       258</w:t>
        <w:br/>
        <w:br/>
        <w:t>Confusion matrix:</w:t>
        <w:br/>
        <w:t>[[25  2  9  0  0]</w:t>
        <w:br/>
        <w:t xml:space="preserve"> [ 3 30  2  0  0]</w:t>
        <w:br/>
        <w:t xml:space="preserve"> [ 4  0 29  0  0]</w:t>
        <w:br/>
        <w:t xml:space="preserve"> [ 0  2  4 99  1]</w:t>
        <w:br/>
        <w:t xml:space="preserve"> [ 1  0  0  1 46]]</w:t>
      </w:r>
    </w:p>
    <w:p>
      <w:pPr>
        <w:pStyle w:val="Heading2"/>
      </w:pPr>
      <w:r>
        <w:t>MobileNetV3-Large</w:t>
      </w:r>
    </w:p>
    <w:p>
      <w:pPr>
        <w:jc w:val="center"/>
      </w:pPr>
      <w:r>
        <w:drawing>
          <wp:inline xmlns:a="http://schemas.openxmlformats.org/drawingml/2006/main" xmlns:pic="http://schemas.openxmlformats.org/drawingml/2006/picture">
            <wp:extent cx="5212080" cy="4467497"/>
            <wp:docPr id="4" name="Picture 4"/>
            <wp:cNvGraphicFramePr>
              <a:graphicFrameLocks noChangeAspect="1"/>
            </wp:cNvGraphicFramePr>
            <a:graphic>
              <a:graphicData uri="http://schemas.openxmlformats.org/drawingml/2006/picture">
                <pic:pic>
                  <pic:nvPicPr>
                    <pic:cNvPr id="0" name="confusion_matrix.png"/>
                    <pic:cNvPicPr/>
                  </pic:nvPicPr>
                  <pic:blipFill>
                    <a:blip r:embed="rId12"/>
                    <a:stretch>
                      <a:fillRect/>
                    </a:stretch>
                  </pic:blipFill>
                  <pic:spPr>
                    <a:xfrm>
                      <a:off x="0" y="0"/>
                      <a:ext cx="5212080" cy="4467497"/>
                    </a:xfrm>
                    <a:prstGeom prst="rect"/>
                  </pic:spPr>
                </pic:pic>
              </a:graphicData>
            </a:graphic>
          </wp:inline>
        </w:drawing>
      </w:r>
    </w:p>
    <w:p>
      <w:r>
        <w:t>Classification report:</w:t>
      </w:r>
    </w:p>
    <w:p>
      <w:r>
        <w:rPr>
          <w:rFonts w:ascii="Courier New" w:hAnsi="Courier New"/>
          <w:sz w:val="14"/>
        </w:rPr>
        <w:t>Best validation accuracy: 0.731518</w:t>
        <w:br/>
        <w:t>Test accuracy: 0.775194</w:t>
        <w:br/>
        <w:t>Training duration seconds: 69.49</w:t>
        <w:br/>
        <w:br/>
        <w:t xml:space="preserve">              precision    recall  f1-score   support</w:t>
        <w:br/>
        <w:br/>
        <w:t xml:space="preserve">  Black spot     0.6818    0.4167    0.5172        36</w:t>
        <w:br/>
        <w:t xml:space="preserve">      Canker     0.7381    0.8857    0.8052        35</w:t>
        <w:br/>
        <w:t xml:space="preserve">    Greening     0.4429    0.9394    0.6019        33</w:t>
        <w:br/>
        <w:t xml:space="preserve">     Healthy     1.0000    0.7358    0.8478       106</w:t>
        <w:br/>
        <w:t xml:space="preserve">    Melanose     0.9783    0.9375    0.9574        48</w:t>
        <w:br/>
        <w:br/>
        <w:t xml:space="preserve">    accuracy                         0.7752       258</w:t>
        <w:br/>
        <w:t xml:space="preserve">   macro avg     0.7682    0.7830    0.7459       258</w:t>
        <w:br/>
        <w:t>weighted avg     0.8448    0.7752    0.7849       258</w:t>
        <w:br/>
        <w:br/>
        <w:t>Confusion matrix:</w:t>
        <w:br/>
        <w:t>[[15  3 18  0  0]</w:t>
        <w:br/>
        <w:t xml:space="preserve"> [ 2 31  2  0  0]</w:t>
        <w:br/>
        <w:t xml:space="preserve"> [ 0  2 31  0  0]</w:t>
        <w:br/>
        <w:t xml:space="preserve"> [ 4  4 19 78  1]</w:t>
        <w:br/>
        <w:t xml:space="preserve"> [ 1  2  0  0 45]]</w:t>
      </w:r>
    </w:p>
    <w:p>
      <w:pPr>
        <w:pStyle w:val="Heading2"/>
      </w:pPr>
      <w:r>
        <w:t>ConvNeXt-Tiny</w:t>
      </w:r>
    </w:p>
    <w:p>
      <w:pPr>
        <w:jc w:val="center"/>
      </w:pPr>
      <w:r>
        <w:drawing>
          <wp:inline xmlns:a="http://schemas.openxmlformats.org/drawingml/2006/main" xmlns:pic="http://schemas.openxmlformats.org/drawingml/2006/picture">
            <wp:extent cx="5212080" cy="4467497"/>
            <wp:docPr id="5" name="Picture 5"/>
            <wp:cNvGraphicFramePr>
              <a:graphicFrameLocks noChangeAspect="1"/>
            </wp:cNvGraphicFramePr>
            <a:graphic>
              <a:graphicData uri="http://schemas.openxmlformats.org/drawingml/2006/picture">
                <pic:pic>
                  <pic:nvPicPr>
                    <pic:cNvPr id="0" name="confusion_matrix.png"/>
                    <pic:cNvPicPr/>
                  </pic:nvPicPr>
                  <pic:blipFill>
                    <a:blip r:embed="rId13"/>
                    <a:stretch>
                      <a:fillRect/>
                    </a:stretch>
                  </pic:blipFill>
                  <pic:spPr>
                    <a:xfrm>
                      <a:off x="0" y="0"/>
                      <a:ext cx="5212080" cy="4467497"/>
                    </a:xfrm>
                    <a:prstGeom prst="rect"/>
                  </pic:spPr>
                </pic:pic>
              </a:graphicData>
            </a:graphic>
          </wp:inline>
        </w:drawing>
      </w:r>
    </w:p>
    <w:p>
      <w:r>
        <w:t>Classification report:</w:t>
      </w:r>
    </w:p>
    <w:p>
      <w:r>
        <w:rPr>
          <w:rFonts w:ascii="Courier New" w:hAnsi="Courier New"/>
          <w:sz w:val="14"/>
        </w:rPr>
        <w:t>Best validation accuracy: 0.817121</w:t>
        <w:br/>
        <w:t>Test accuracy: 0.852713</w:t>
        <w:br/>
        <w:t>Training duration seconds: 83.53</w:t>
        <w:br/>
        <w:br/>
        <w:t xml:space="preserve">              precision    recall  f1-score   support</w:t>
        <w:br/>
        <w:br/>
        <w:t xml:space="preserve">  Black spot     0.8000    0.6667    0.7273        36</w:t>
        <w:br/>
        <w:t xml:space="preserve">      Canker     0.7805    0.9143    0.8421        35</w:t>
        <w:br/>
        <w:t xml:space="preserve">    Greening     0.5714    0.8485    0.6829        33</w:t>
        <w:br/>
        <w:t xml:space="preserve">     Healthy     0.9890    0.8491    0.9137       106</w:t>
        <w:br/>
        <w:t xml:space="preserve">    Melanose     0.9787    0.9583    0.9684        48</w:t>
        <w:br/>
        <w:br/>
        <w:t xml:space="preserve">    accuracy                         0.8527       258</w:t>
        <w:br/>
        <w:t xml:space="preserve">   macro avg     0.8239    0.8474    0.8269       258</w:t>
        <w:br/>
        <w:t>weighted avg     0.8790    0.8527    0.8586       258</w:t>
        <w:br/>
        <w:br/>
        <w:t>Confusion matrix:</w:t>
        <w:br/>
        <w:t>[[24  2 10  0  0]</w:t>
        <w:br/>
        <w:t xml:space="preserve"> [ 1 32  2  0  0]</w:t>
        <w:br/>
        <w:t xml:space="preserve"> [ 2  2 28  1  0]</w:t>
        <w:br/>
        <w:t xml:space="preserve"> [ 2  4  9 90  1]</w:t>
        <w:br/>
        <w:t xml:space="preserve"> [ 1  1  0  0 46]]</w:t>
      </w:r>
    </w:p>
    <w:p>
      <w:pPr>
        <w:pStyle w:val="Heading2"/>
      </w:pPr>
      <w:r>
        <w:t>Swin-Tiny</w:t>
      </w:r>
    </w:p>
    <w:p>
      <w:pPr>
        <w:jc w:val="center"/>
      </w:pPr>
      <w:r>
        <w:drawing>
          <wp:inline xmlns:a="http://schemas.openxmlformats.org/drawingml/2006/main" xmlns:pic="http://schemas.openxmlformats.org/drawingml/2006/picture">
            <wp:extent cx="5212080" cy="4467497"/>
            <wp:docPr id="6" name="Picture 6"/>
            <wp:cNvGraphicFramePr>
              <a:graphicFrameLocks noChangeAspect="1"/>
            </wp:cNvGraphicFramePr>
            <a:graphic>
              <a:graphicData uri="http://schemas.openxmlformats.org/drawingml/2006/picture">
                <pic:pic>
                  <pic:nvPicPr>
                    <pic:cNvPr id="0" name="confusion_matrix.png"/>
                    <pic:cNvPicPr/>
                  </pic:nvPicPr>
                  <pic:blipFill>
                    <a:blip r:embed="rId14"/>
                    <a:stretch>
                      <a:fillRect/>
                    </a:stretch>
                  </pic:blipFill>
                  <pic:spPr>
                    <a:xfrm>
                      <a:off x="0" y="0"/>
                      <a:ext cx="5212080" cy="4467497"/>
                    </a:xfrm>
                    <a:prstGeom prst="rect"/>
                  </pic:spPr>
                </pic:pic>
              </a:graphicData>
            </a:graphic>
          </wp:inline>
        </w:drawing>
      </w:r>
    </w:p>
    <w:p>
      <w:r>
        <w:t>Classification report:</w:t>
      </w:r>
    </w:p>
    <w:p>
      <w:r>
        <w:rPr>
          <w:rFonts w:ascii="Courier New" w:hAnsi="Courier New"/>
          <w:sz w:val="14"/>
        </w:rPr>
        <w:t>Best validation accuracy: 0.852140</w:t>
        <w:br/>
        <w:t>Test accuracy: 0.852713</w:t>
        <w:br/>
        <w:t>Training duration seconds: 79.93</w:t>
        <w:br/>
        <w:br/>
        <w:t xml:space="preserve">              precision    recall  f1-score   support</w:t>
        <w:br/>
        <w:br/>
        <w:t xml:space="preserve">  Black spot     0.6591    0.8056    0.7250        36</w:t>
        <w:br/>
        <w:t xml:space="preserve">      Canker     0.7561    0.8857    0.8158        35</w:t>
        <w:br/>
        <w:t xml:space="preserve">    Greening     0.7188    0.6970    0.7077        33</w:t>
        <w:br/>
        <w:t xml:space="preserve">     Healthy     1.0000    0.8585    0.9239       106</w:t>
        <w:br/>
        <w:t xml:space="preserve">    Melanose     0.9200    0.9583    0.9388        48</w:t>
        <w:br/>
        <w:br/>
        <w:t xml:space="preserve">    accuracy                         0.8527       258</w:t>
        <w:br/>
        <w:t xml:space="preserve">   macro avg     0.8108    0.8410    0.8222       258</w:t>
        <w:br/>
        <w:t>weighted avg     0.8685    0.8527    0.8566       258</w:t>
        <w:br/>
        <w:br/>
        <w:t>Confusion matrix:</w:t>
        <w:br/>
        <w:t>[[29  3  4  0  0]</w:t>
        <w:br/>
        <w:t xml:space="preserve"> [ 1 31  2  0  1]</w:t>
        <w:br/>
        <w:t xml:space="preserve"> [ 8  2 23  0  0]</w:t>
        <w:br/>
        <w:t xml:space="preserve"> [ 4  5  3 91  3]</w:t>
        <w:br/>
        <w:t xml:space="preserve"> [ 2  0  0  0 46]]</w:t>
      </w:r>
    </w:p>
    <w:p>
      <w:pPr>
        <w:pStyle w:val="Heading2"/>
      </w:pPr>
      <w:r>
        <w:t>MobileViT-Small</w:t>
      </w:r>
    </w:p>
    <w:p>
      <w:pPr>
        <w:jc w:val="center"/>
      </w:pPr>
      <w:r>
        <w:drawing>
          <wp:inline xmlns:a="http://schemas.openxmlformats.org/drawingml/2006/main" xmlns:pic="http://schemas.openxmlformats.org/drawingml/2006/picture">
            <wp:extent cx="5212080" cy="4467497"/>
            <wp:docPr id="7" name="Picture 7"/>
            <wp:cNvGraphicFramePr>
              <a:graphicFrameLocks noChangeAspect="1"/>
            </wp:cNvGraphicFramePr>
            <a:graphic>
              <a:graphicData uri="http://schemas.openxmlformats.org/drawingml/2006/picture">
                <pic:pic>
                  <pic:nvPicPr>
                    <pic:cNvPr id="0" name="confusion_matrix.png"/>
                    <pic:cNvPicPr/>
                  </pic:nvPicPr>
                  <pic:blipFill>
                    <a:blip r:embed="rId15"/>
                    <a:stretch>
                      <a:fillRect/>
                    </a:stretch>
                  </pic:blipFill>
                  <pic:spPr>
                    <a:xfrm>
                      <a:off x="0" y="0"/>
                      <a:ext cx="5212080" cy="4467497"/>
                    </a:xfrm>
                    <a:prstGeom prst="rect"/>
                  </pic:spPr>
                </pic:pic>
              </a:graphicData>
            </a:graphic>
          </wp:inline>
        </w:drawing>
      </w:r>
    </w:p>
    <w:p>
      <w:r>
        <w:t>Classification report:</w:t>
      </w:r>
    </w:p>
    <w:p>
      <w:r>
        <w:rPr>
          <w:rFonts w:ascii="Courier New" w:hAnsi="Courier New"/>
          <w:sz w:val="14"/>
        </w:rPr>
        <w:t>Best validation accuracy: 0.785992</w:t>
        <w:br/>
        <w:t>Test accuracy: 0.813953</w:t>
        <w:br/>
        <w:t>Training duration seconds: 74.59</w:t>
        <w:br/>
        <w:br/>
        <w:t xml:space="preserve">              precision    recall  f1-score   support</w:t>
        <w:br/>
        <w:br/>
        <w:t xml:space="preserve">  Black spot     0.8889    0.4444    0.5926        36</w:t>
        <w:br/>
        <w:t xml:space="preserve">      Canker     0.7021    0.9429    0.8049        35</w:t>
        <w:br/>
        <w:t xml:space="preserve">    Greening     0.5556    0.9091    0.6897        33</w:t>
        <w:br/>
        <w:t xml:space="preserve">     Healthy     0.9388    0.8679    0.9020       106</w:t>
        <w:br/>
        <w:t xml:space="preserve">    Melanose     0.9512    0.8125    0.8764        48</w:t>
        <w:br/>
        <w:br/>
        <w:t xml:space="preserve">    accuracy                         0.8140       258</w:t>
        <w:br/>
        <w:t xml:space="preserve">   macro avg     0.8073    0.7954    0.7731       258</w:t>
        <w:br/>
        <w:t>weighted avg     0.8530    0.8140    0.8137       258</w:t>
        <w:br/>
        <w:br/>
        <w:t>Confusion matrix:</w:t>
        <w:br/>
        <w:t>[[16  5 15  0  0]</w:t>
        <w:br/>
        <w:t xml:space="preserve"> [ 1 33  1  0  0]</w:t>
        <w:br/>
        <w:t xml:space="preserve"> [ 0  2 30  1  0]</w:t>
        <w:br/>
        <w:t xml:space="preserve"> [ 0  4  8 92  2]</w:t>
        <w:br/>
        <w:t xml:space="preserve"> [ 1  3  0  5 39]]</w:t>
      </w:r>
    </w:p>
    <w:p>
      <w:pPr>
        <w:pStyle w:val="Heading1"/>
      </w:pPr>
      <w:r>
        <w:t>7. Limitations</w:t>
      </w:r>
    </w:p>
    <w:p>
      <w:pPr>
        <w:pStyle w:val="ListBullet"/>
      </w:pPr>
      <w:r>
        <w:t>Two early models used different splits, preventing a strict comparison against the five models trained on the shared split.</w:t>
      </w:r>
    </w:p>
    <w:p>
      <w:pPr>
        <w:pStyle w:val="ListBullet"/>
      </w:pPr>
      <w:r>
        <w:t>The number of epochs was limited to eight for the recorded experiments; these results do not establish the maximum attainable performance.</w:t>
      </w:r>
    </w:p>
    <w:p>
      <w:pPr>
        <w:pStyle w:val="ListBullet"/>
      </w:pPr>
      <w:r>
        <w:t>The dataset is imbalanced, and aggregate accuracy can conceal weaker performance for particular disease classes.</w:t>
      </w:r>
    </w:p>
    <w:p>
      <w:pPr>
        <w:pStyle w:val="ListBullet"/>
      </w:pPr>
      <w:r>
        <w:t>Performance on external field images has not been established by these results.</w:t>
      </w:r>
    </w:p>
    <w:p>
      <w:pPr>
        <w:pStyle w:val="ListBullet"/>
      </w:pPr>
      <w:r>
        <w:t>The historical ResNet34 and EfficientNet-B0 result folders did not contain saved training histories or original confusion-matrix images. Their confusion matrices were reconstructed from recorded counts.</w:t>
      </w:r>
    </w:p>
    <w:p>
      <w:pPr>
        <w:pStyle w:val="Heading1"/>
      </w:pPr>
      <w:r>
        <w:t>8. Recommendations</w:t>
      </w:r>
    </w:p>
    <w:p>
      <w:pPr>
        <w:pStyle w:val="ListBullet"/>
      </w:pPr>
      <w:r>
        <w:t>For a fair ranking, retrain all seven architectures using the exact same saved split and evaluation procedure.</w:t>
      </w:r>
    </w:p>
    <w:p>
      <w:pPr>
        <w:pStyle w:val="ListBullet"/>
      </w:pPr>
      <w:r>
        <w:t>Compare macro F1, per-class recall, confusion matrices, and model size in addition to test accuracy.</w:t>
      </w:r>
    </w:p>
    <w:p>
      <w:pPr>
        <w:pStyle w:val="ListBullet"/>
      </w:pPr>
      <w:r>
        <w:t>Investigate Black spot and Greening errors and review potentially ambiguous images.</w:t>
      </w:r>
    </w:p>
    <w:p>
      <w:pPr>
        <w:pStyle w:val="ListBullet"/>
      </w:pPr>
      <w:r>
        <w:t>Evaluate the selected model on independent field images before making real-world diagnostic claims.</w:t>
      </w:r>
    </w:p>
    <w:p>
      <w:pPr>
        <w:pStyle w:val="Heading1"/>
      </w:pPr>
      <w:r>
        <w:t>9. Conclusion</w:t>
      </w:r>
    </w:p>
    <w:p>
      <w:r>
        <w:t>The recorded experiments show that pretrained vision architectures can classify the five citrus leaf categories with promising performance on this dataset. ViT-B/16 produced the highest recorded test accuracy in the summarized runs. However, a controlled comparison using the same data split for all models and validation on independent field images is recommended before selecting a final deployment model.</w:t>
      </w:r>
    </w:p>
    <w:p>
      <w:pPr>
        <w:pStyle w:val="Heading1"/>
      </w:pPr>
      <w:r>
        <w:t>10. Supporting Files</w:t>
      </w:r>
    </w:p>
    <w:p>
      <w:r>
        <w:t>The accompanying package contains model checkpoints, available classification reports, confusion matrices, test predictions, training histories, class mappings, a consolidated comparison table, and dataset class distribution.</w:t>
      </w:r>
    </w:p>
    <w:sectPr w:rsidR="00FC693F" w:rsidRPr="0006063C"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