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D40C7" w14:textId="1CCD5960" w:rsidR="00D75279" w:rsidRPr="00505398" w:rsidRDefault="00AB0696" w:rsidP="00F347DA">
      <w:pPr>
        <w:pStyle w:val="Prrafodelista"/>
        <w:numPr>
          <w:ilvl w:val="0"/>
          <w:numId w:val="8"/>
        </w:numPr>
        <w:spacing w:line="252" w:lineRule="auto"/>
        <w:jc w:val="center"/>
        <w:rPr>
          <w:rFonts w:ascii="Times New Roman" w:hAnsi="Times New Roman" w:cs="Times New Roman"/>
          <w:b/>
          <w:bCs/>
          <w:sz w:val="20"/>
          <w:szCs w:val="20"/>
        </w:rPr>
      </w:pPr>
      <w:r w:rsidRPr="00505398">
        <w:rPr>
          <w:rFonts w:ascii="Times New Roman" w:hAnsi="Times New Roman" w:cs="Times New Roman"/>
          <w:b/>
          <w:bCs/>
          <w:sz w:val="20"/>
          <w:szCs w:val="20"/>
        </w:rPr>
        <w:t>INTRODUCCIÓN</w:t>
      </w:r>
    </w:p>
    <w:p w14:paraId="2C94B094" w14:textId="77777777" w:rsidR="00735353" w:rsidRPr="00735353" w:rsidRDefault="00735353" w:rsidP="00735353">
      <w:pPr>
        <w:spacing w:line="252" w:lineRule="auto"/>
        <w:jc w:val="both"/>
        <w:rPr>
          <w:rFonts w:ascii="Times New Roman" w:hAnsi="Times New Roman" w:cs="Times New Roman"/>
          <w:b/>
          <w:bCs/>
          <w:sz w:val="20"/>
          <w:szCs w:val="20"/>
        </w:rPr>
      </w:pPr>
      <w:r w:rsidRPr="00735353">
        <w:rPr>
          <w:rFonts w:ascii="Times New Roman" w:hAnsi="Times New Roman" w:cs="Times New Roman"/>
          <w:sz w:val="20"/>
          <w:szCs w:val="20"/>
        </w:rPr>
        <w:t xml:space="preserve">La transición energética en Colombia es fundamental para reducir la dependencia de la hidroelectricidad, fortalecer la seguridad energética y avanzar en la descarbonización. Aunque el país posee un alto potencial en fuentes solares y eólicas, persisten barreras técnicas, regulatorias y financieras que dificultan el cumplimiento de metas como los 6 GW del Plan </w:t>
      </w:r>
      <w:proofErr w:type="spellStart"/>
      <w:r w:rsidRPr="00735353">
        <w:rPr>
          <w:rFonts w:ascii="Times New Roman" w:hAnsi="Times New Roman" w:cs="Times New Roman"/>
          <w:sz w:val="20"/>
          <w:szCs w:val="20"/>
        </w:rPr>
        <w:t>Argo</w:t>
      </w:r>
      <w:proofErr w:type="spellEnd"/>
      <w:r w:rsidRPr="00735353">
        <w:rPr>
          <w:rFonts w:ascii="Times New Roman" w:hAnsi="Times New Roman" w:cs="Times New Roman"/>
          <w:sz w:val="20"/>
          <w:szCs w:val="20"/>
        </w:rPr>
        <w:t xml:space="preserve">. Ante este panorama, se requieren herramientas analíticas capaces de interpretar patrones históricos y anticipar la evolución de la capacidad instalada. Los modelos de Machine </w:t>
      </w:r>
      <w:proofErr w:type="spellStart"/>
      <w:r w:rsidRPr="00735353">
        <w:rPr>
          <w:rFonts w:ascii="Times New Roman" w:hAnsi="Times New Roman" w:cs="Times New Roman"/>
          <w:sz w:val="20"/>
          <w:szCs w:val="20"/>
        </w:rPr>
        <w:t>Learning</w:t>
      </w:r>
      <w:proofErr w:type="spellEnd"/>
      <w:r w:rsidRPr="00735353">
        <w:rPr>
          <w:rFonts w:ascii="Times New Roman" w:hAnsi="Times New Roman" w:cs="Times New Roman"/>
          <w:sz w:val="20"/>
          <w:szCs w:val="20"/>
        </w:rPr>
        <w:t>, especialmente los basados en regresión y series de tiempo, ofrecen una alternativa sólida para proyectar tendencias y evaluar el avance hacia los objetivos nacionales. En este proyecto, desarrollado en la Maestría en Inteligencia Artificial de la Universidad Icesi, se emplean datos oficiales y modelos de referencia para predecir el comportamiento futuro de las energías renovables en Colombia.</w:t>
      </w:r>
    </w:p>
    <w:p w14:paraId="3F0918D4" w14:textId="77777777" w:rsidR="00735353" w:rsidRPr="00735353" w:rsidRDefault="00735353" w:rsidP="00735353">
      <w:pPr>
        <w:pStyle w:val="Prrafodelista"/>
        <w:spacing w:line="252" w:lineRule="auto"/>
        <w:rPr>
          <w:rFonts w:ascii="Times New Roman" w:hAnsi="Times New Roman" w:cs="Times New Roman"/>
          <w:b/>
          <w:bCs/>
          <w:sz w:val="20"/>
          <w:szCs w:val="20"/>
        </w:rPr>
      </w:pPr>
    </w:p>
    <w:p w14:paraId="70046235" w14:textId="6F946FDF" w:rsidR="00970A2D" w:rsidRPr="00505398" w:rsidRDefault="00AB0696" w:rsidP="00F347DA">
      <w:pPr>
        <w:pStyle w:val="Prrafodelista"/>
        <w:numPr>
          <w:ilvl w:val="0"/>
          <w:numId w:val="8"/>
        </w:numPr>
        <w:spacing w:line="252" w:lineRule="auto"/>
        <w:jc w:val="center"/>
        <w:rPr>
          <w:rFonts w:ascii="Times New Roman" w:hAnsi="Times New Roman" w:cs="Times New Roman"/>
          <w:b/>
          <w:bCs/>
          <w:sz w:val="20"/>
          <w:szCs w:val="20"/>
        </w:rPr>
      </w:pPr>
      <w:r w:rsidRPr="00505398">
        <w:rPr>
          <w:rFonts w:ascii="Times New Roman" w:hAnsi="Times New Roman" w:cs="Times New Roman"/>
          <w:b/>
          <w:bCs/>
          <w:sz w:val="20"/>
          <w:szCs w:val="20"/>
        </w:rPr>
        <w:t>PLANTEAMIENTO DEL PROBLEMA</w:t>
      </w:r>
    </w:p>
    <w:p w14:paraId="114EEF68" w14:textId="5CB92E5C" w:rsidR="00DC0ED5" w:rsidRPr="00505398" w:rsidRDefault="00280FD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505398">
        <w:rPr>
          <w:rFonts w:ascii="Times New Roman" w:eastAsia="Arial" w:hAnsi="Times New Roman" w:cs="Times New Roman"/>
          <w:sz w:val="20"/>
          <w:szCs w:val="20"/>
        </w:rPr>
        <w:t xml:space="preserve">La transición energética en Colombia enfrenta importantes desafíos derivados de la imprevisibilidad en el despliegue de las Fuentes No Convencionales de Energía Renovable (FNCER), la falta de cierre financiero en la mayoría de </w:t>
      </w:r>
      <w:proofErr w:type="gramStart"/>
      <w:r w:rsidRPr="00505398">
        <w:rPr>
          <w:rFonts w:ascii="Times New Roman" w:eastAsia="Arial" w:hAnsi="Times New Roman" w:cs="Times New Roman"/>
          <w:sz w:val="20"/>
          <w:szCs w:val="20"/>
        </w:rPr>
        <w:t>proyectos</w:t>
      </w:r>
      <w:proofErr w:type="gramEnd"/>
      <w:r w:rsidRPr="00505398">
        <w:rPr>
          <w:rFonts w:ascii="Times New Roman" w:eastAsia="Arial" w:hAnsi="Times New Roman" w:cs="Times New Roman"/>
          <w:sz w:val="20"/>
          <w:szCs w:val="20"/>
        </w:rPr>
        <w:t xml:space="preserve">, la limitada infraestructura de transmisión y la escasa predictibilidad en los tiempos de entrada en operación. Estas condiciones dificultan anticipar el cumplimiento de metas nacionales como los 6 GW establecidos en el Plan </w:t>
      </w:r>
      <w:proofErr w:type="spellStart"/>
      <w:r w:rsidRPr="00505398">
        <w:rPr>
          <w:rFonts w:ascii="Times New Roman" w:eastAsia="Arial" w:hAnsi="Times New Roman" w:cs="Times New Roman"/>
          <w:sz w:val="20"/>
          <w:szCs w:val="20"/>
        </w:rPr>
        <w:t>Argo</w:t>
      </w:r>
      <w:proofErr w:type="spellEnd"/>
      <w:r w:rsidRPr="00505398">
        <w:rPr>
          <w:rFonts w:ascii="Times New Roman" w:eastAsia="Arial" w:hAnsi="Times New Roman" w:cs="Times New Roman"/>
          <w:sz w:val="20"/>
          <w:szCs w:val="20"/>
        </w:rPr>
        <w:t xml:space="preserve"> y limitan la capacidad del país para garantizar seguridad energética y avanzar en la descarbonización. Ante esta incertidumbre, se hace necesario desarrollar modelos de predicción basados en Machine </w:t>
      </w:r>
      <w:proofErr w:type="spellStart"/>
      <w:r w:rsidRPr="00505398">
        <w:rPr>
          <w:rFonts w:ascii="Times New Roman" w:eastAsia="Arial" w:hAnsi="Times New Roman" w:cs="Times New Roman"/>
          <w:sz w:val="20"/>
          <w:szCs w:val="20"/>
        </w:rPr>
        <w:t>Learning</w:t>
      </w:r>
      <w:proofErr w:type="spellEnd"/>
      <w:r w:rsidRPr="00505398">
        <w:rPr>
          <w:rFonts w:ascii="Times New Roman" w:eastAsia="Arial" w:hAnsi="Times New Roman" w:cs="Times New Roman"/>
          <w:sz w:val="20"/>
          <w:szCs w:val="20"/>
        </w:rPr>
        <w:t xml:space="preserve"> que permitan estimar el comportamiento futuro de la capacidad instalada y apoyar la toma de decisiones estratégicas en política energética.</w:t>
      </w:r>
    </w:p>
    <w:p w14:paraId="52D36C63" w14:textId="3E8D69C3" w:rsidR="007516B7" w:rsidRPr="00505398" w:rsidRDefault="00DC0ED5" w:rsidP="00F347DA">
      <w:pPr>
        <w:pBdr>
          <w:top w:val="nil"/>
          <w:left w:val="nil"/>
          <w:bottom w:val="nil"/>
          <w:right w:val="nil"/>
          <w:between w:val="nil"/>
        </w:pBdr>
        <w:spacing w:line="252" w:lineRule="auto"/>
        <w:jc w:val="center"/>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 xml:space="preserve">3. </w:t>
      </w:r>
      <w:r w:rsidR="00261E58" w:rsidRPr="00505398">
        <w:rPr>
          <w:rFonts w:ascii="Times New Roman" w:eastAsia="Arial" w:hAnsi="Times New Roman" w:cs="Times New Roman"/>
          <w:b/>
          <w:bCs/>
          <w:sz w:val="20"/>
          <w:szCs w:val="20"/>
        </w:rPr>
        <w:t>MARCO TEORICO</w:t>
      </w:r>
    </w:p>
    <w:p w14:paraId="69F0EFE5"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BF087D">
        <w:rPr>
          <w:rFonts w:ascii="Times New Roman" w:eastAsia="Arial" w:hAnsi="Times New Roman" w:cs="Times New Roman"/>
          <w:b/>
          <w:bCs/>
          <w:sz w:val="20"/>
          <w:szCs w:val="20"/>
        </w:rPr>
        <w:t>1. Transición Energética y Transformación de la Matriz Eléctrica</w:t>
      </w:r>
    </w:p>
    <w:p w14:paraId="5B301A6D"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La transición energética se entiende como un proceso de transformación estructural del sistema energético hacia fuentes más sostenibles, resilientes y bajas en emisiones. Este cambio responde a desafíos como la crisis climática, la volatilidad de los combustibles fósiles y la necesidad de garantizar seguridad energética en el largo plazo [1], [2].</w:t>
      </w:r>
    </w:p>
    <w:p w14:paraId="5F72B990"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En Colombia, la matriz eléctrica ha estado dominada históricamente por la generación hidroeléctrica, con participaciones entre el 63.9% y el 75%, lo que genera vulnerabilidad frente a eventos climatológicos como El Niño y La Niña [3], [4]. Esta dependencia hídrica ha impulsado una estrategia nacional dedicada a diversificar la matriz mediante el desarrollo de energías solar, eólica y biomasa.</w:t>
      </w:r>
    </w:p>
    <w:p w14:paraId="4F45ADB7"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La transición energética no solo implica la adopción de tecnologías renovables, sino también transformaciones regulatorias, económicas y sociales que permitan la integración efectiva de las FNCER dentro del sistema interconectado nacional [5].</w:t>
      </w:r>
    </w:p>
    <w:p w14:paraId="36D6C414"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BF087D">
        <w:rPr>
          <w:rFonts w:ascii="Times New Roman" w:eastAsia="Arial" w:hAnsi="Times New Roman" w:cs="Times New Roman"/>
          <w:b/>
          <w:bCs/>
          <w:sz w:val="20"/>
          <w:szCs w:val="20"/>
        </w:rPr>
        <w:t>2. Fuentes No Convencionales de Energía Renovable (FNCER)</w:t>
      </w:r>
    </w:p>
    <w:p w14:paraId="682D0FF3"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Las FNCER incluyen energías solar fotovoltaica, eólica, biomasa, geotermia y pequeñas centrales hidroeléctricas. Durante la última década han ganado protagonismo debido a su competitividad y su contribución directa a la reducción de emisiones [1], [6].</w:t>
      </w:r>
    </w:p>
    <w:p w14:paraId="23C9D191"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Hacia 2025, la capacidad instalada de energías renovables en Colombia superó los 3.000 MW, impulsada por proyectos solares y eólicos [7], [8]. Entre las características principales de estas tecnologías se destacan:</w:t>
      </w:r>
    </w:p>
    <w:p w14:paraId="10797DEC" w14:textId="77777777" w:rsidR="00BF087D" w:rsidRPr="00F347DA" w:rsidRDefault="00BF087D" w:rsidP="00F347DA">
      <w:pPr>
        <w:pStyle w:val="Sinespaciado"/>
        <w:numPr>
          <w:ilvl w:val="0"/>
          <w:numId w:val="21"/>
        </w:numPr>
        <w:rPr>
          <w:rFonts w:ascii="Times New Roman" w:hAnsi="Times New Roman" w:cs="Times New Roman"/>
          <w:sz w:val="20"/>
          <w:szCs w:val="20"/>
        </w:rPr>
      </w:pPr>
      <w:r w:rsidRPr="00F347DA">
        <w:rPr>
          <w:rFonts w:ascii="Times New Roman" w:hAnsi="Times New Roman" w:cs="Times New Roman"/>
          <w:sz w:val="20"/>
          <w:szCs w:val="20"/>
        </w:rPr>
        <w:t>Solar fotovoltaica: potencial de 4.5–6 kWh/m² en La Guajira y el Caribe [7].</w:t>
      </w:r>
    </w:p>
    <w:p w14:paraId="1FE07CD6" w14:textId="77777777" w:rsidR="00BF087D" w:rsidRPr="00F347DA" w:rsidRDefault="00BF087D" w:rsidP="00F347DA">
      <w:pPr>
        <w:pStyle w:val="Sinespaciado"/>
        <w:numPr>
          <w:ilvl w:val="0"/>
          <w:numId w:val="21"/>
        </w:numPr>
        <w:rPr>
          <w:rFonts w:ascii="Times New Roman" w:hAnsi="Times New Roman" w:cs="Times New Roman"/>
          <w:sz w:val="20"/>
          <w:szCs w:val="20"/>
        </w:rPr>
      </w:pPr>
      <w:r w:rsidRPr="00F347DA">
        <w:rPr>
          <w:rFonts w:ascii="Times New Roman" w:hAnsi="Times New Roman" w:cs="Times New Roman"/>
          <w:sz w:val="20"/>
          <w:szCs w:val="20"/>
        </w:rPr>
        <w:t>Eólica: potencial estimado de 25 GW en La Guajira, con velocidades entre 5 y 11 m/s [8].</w:t>
      </w:r>
    </w:p>
    <w:p w14:paraId="0221D6C4" w14:textId="77777777" w:rsidR="00BF087D" w:rsidRPr="00F347DA" w:rsidRDefault="00BF087D" w:rsidP="00F347DA">
      <w:pPr>
        <w:pStyle w:val="Sinespaciado"/>
        <w:numPr>
          <w:ilvl w:val="0"/>
          <w:numId w:val="21"/>
        </w:numPr>
      </w:pPr>
      <w:r w:rsidRPr="00F347DA">
        <w:rPr>
          <w:rFonts w:ascii="Times New Roman" w:hAnsi="Times New Roman" w:cs="Times New Roman"/>
          <w:sz w:val="20"/>
          <w:szCs w:val="20"/>
        </w:rPr>
        <w:t>Biomasa: disponibilidad basada en la amplia actividad agropecuaria nacional [4].</w:t>
      </w:r>
    </w:p>
    <w:p w14:paraId="4CB8F06D" w14:textId="77777777" w:rsidR="00F347DA" w:rsidRPr="00BF087D" w:rsidRDefault="00F347DA" w:rsidP="00F347DA">
      <w:pPr>
        <w:pStyle w:val="Sinespaciado"/>
      </w:pPr>
    </w:p>
    <w:p w14:paraId="6738D972"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 xml:space="preserve">Estas tecnologías son fundamentales para alcanzar los objetivos establecidos en el Plan </w:t>
      </w:r>
      <w:proofErr w:type="spellStart"/>
      <w:r w:rsidRPr="00BF087D">
        <w:rPr>
          <w:rFonts w:ascii="Times New Roman" w:eastAsia="Arial" w:hAnsi="Times New Roman" w:cs="Times New Roman"/>
          <w:sz w:val="20"/>
          <w:szCs w:val="20"/>
        </w:rPr>
        <w:t>Argo</w:t>
      </w:r>
      <w:proofErr w:type="spellEnd"/>
      <w:r w:rsidRPr="00BF087D">
        <w:rPr>
          <w:rFonts w:ascii="Times New Roman" w:eastAsia="Arial" w:hAnsi="Times New Roman" w:cs="Times New Roman"/>
          <w:sz w:val="20"/>
          <w:szCs w:val="20"/>
        </w:rPr>
        <w:t>, que propone instalar 6 GW de capacidad renovable entre 2022 y 2026 [5].</w:t>
      </w:r>
    </w:p>
    <w:p w14:paraId="518157B3"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BF087D">
        <w:rPr>
          <w:rFonts w:ascii="Times New Roman" w:eastAsia="Arial" w:hAnsi="Times New Roman" w:cs="Times New Roman"/>
          <w:b/>
          <w:bCs/>
          <w:sz w:val="20"/>
          <w:szCs w:val="20"/>
        </w:rPr>
        <w:t>3. Marco Regulatorio de las FNCER en Colombia</w:t>
      </w:r>
    </w:p>
    <w:p w14:paraId="6A0E5F04"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El marco normativo que respalda el desarrollo renovable en Colombia está encabezado por la Ley 1715 de 2014, la cual definió los instrumentos tributarios y regulatorios necesarios para promover la integración de FNCER en la matriz eléctrica [9].</w:t>
      </w:r>
      <w:r w:rsidRPr="00BF087D">
        <w:rPr>
          <w:rFonts w:ascii="Times New Roman" w:eastAsia="Arial" w:hAnsi="Times New Roman" w:cs="Times New Roman"/>
          <w:sz w:val="20"/>
          <w:szCs w:val="20"/>
        </w:rPr>
        <w:br/>
        <w:t>Entre los incentivos más relevantes se encuentran:</w:t>
      </w:r>
    </w:p>
    <w:p w14:paraId="4460195C" w14:textId="77777777" w:rsidR="00BF087D" w:rsidRPr="00F347DA" w:rsidRDefault="00BF087D" w:rsidP="00F347DA">
      <w:pPr>
        <w:pStyle w:val="Sinespaciado"/>
        <w:numPr>
          <w:ilvl w:val="0"/>
          <w:numId w:val="20"/>
        </w:numPr>
        <w:rPr>
          <w:rFonts w:ascii="Times New Roman" w:hAnsi="Times New Roman" w:cs="Times New Roman"/>
          <w:sz w:val="20"/>
          <w:szCs w:val="20"/>
        </w:rPr>
      </w:pPr>
      <w:r w:rsidRPr="00F347DA">
        <w:rPr>
          <w:rFonts w:ascii="Times New Roman" w:hAnsi="Times New Roman" w:cs="Times New Roman"/>
          <w:sz w:val="20"/>
          <w:szCs w:val="20"/>
        </w:rPr>
        <w:lastRenderedPageBreak/>
        <w:t>depreciación acelerada de activos,</w:t>
      </w:r>
    </w:p>
    <w:p w14:paraId="35B9B065" w14:textId="77777777" w:rsidR="00BF087D" w:rsidRPr="00F347DA" w:rsidRDefault="00BF087D" w:rsidP="00F347DA">
      <w:pPr>
        <w:pStyle w:val="Sinespaciado"/>
        <w:numPr>
          <w:ilvl w:val="0"/>
          <w:numId w:val="20"/>
        </w:numPr>
        <w:rPr>
          <w:rFonts w:ascii="Times New Roman" w:hAnsi="Times New Roman" w:cs="Times New Roman"/>
          <w:sz w:val="20"/>
          <w:szCs w:val="20"/>
        </w:rPr>
      </w:pPr>
      <w:r w:rsidRPr="00F347DA">
        <w:rPr>
          <w:rFonts w:ascii="Times New Roman" w:hAnsi="Times New Roman" w:cs="Times New Roman"/>
          <w:sz w:val="20"/>
          <w:szCs w:val="20"/>
        </w:rPr>
        <w:t>exención de IVA,</w:t>
      </w:r>
    </w:p>
    <w:p w14:paraId="2FB0E198" w14:textId="77777777" w:rsidR="00BF087D" w:rsidRPr="00F347DA" w:rsidRDefault="00BF087D" w:rsidP="00F347DA">
      <w:pPr>
        <w:pStyle w:val="Sinespaciado"/>
        <w:numPr>
          <w:ilvl w:val="0"/>
          <w:numId w:val="20"/>
        </w:numPr>
        <w:rPr>
          <w:rFonts w:ascii="Times New Roman" w:hAnsi="Times New Roman" w:cs="Times New Roman"/>
          <w:sz w:val="20"/>
          <w:szCs w:val="20"/>
        </w:rPr>
      </w:pPr>
      <w:r w:rsidRPr="00F347DA">
        <w:rPr>
          <w:rFonts w:ascii="Times New Roman" w:hAnsi="Times New Roman" w:cs="Times New Roman"/>
          <w:sz w:val="20"/>
          <w:szCs w:val="20"/>
        </w:rPr>
        <w:t>deducción del impuesto de renta,</w:t>
      </w:r>
    </w:p>
    <w:p w14:paraId="2FCB41F6" w14:textId="77777777" w:rsidR="00BF087D" w:rsidRPr="00F347DA" w:rsidRDefault="00BF087D" w:rsidP="00F347DA">
      <w:pPr>
        <w:pStyle w:val="Sinespaciado"/>
        <w:numPr>
          <w:ilvl w:val="0"/>
          <w:numId w:val="20"/>
        </w:numPr>
        <w:rPr>
          <w:rFonts w:ascii="Times New Roman" w:hAnsi="Times New Roman" w:cs="Times New Roman"/>
          <w:sz w:val="20"/>
          <w:szCs w:val="20"/>
        </w:rPr>
      </w:pPr>
      <w:r w:rsidRPr="00F347DA">
        <w:rPr>
          <w:rFonts w:ascii="Times New Roman" w:hAnsi="Times New Roman" w:cs="Times New Roman"/>
          <w:sz w:val="20"/>
          <w:szCs w:val="20"/>
        </w:rPr>
        <w:t>estímulos a investigación y desarrollo.</w:t>
      </w:r>
    </w:p>
    <w:p w14:paraId="499484DC" w14:textId="77777777" w:rsidR="00F347DA" w:rsidRPr="00BF087D" w:rsidRDefault="00F347DA" w:rsidP="00F347DA">
      <w:pPr>
        <w:pStyle w:val="Sinespaciado"/>
        <w:ind w:left="720"/>
      </w:pPr>
    </w:p>
    <w:p w14:paraId="23AE479F"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 xml:space="preserve">Posteriormente, políticas como el Plan </w:t>
      </w:r>
      <w:proofErr w:type="spellStart"/>
      <w:r w:rsidRPr="00BF087D">
        <w:rPr>
          <w:rFonts w:ascii="Times New Roman" w:eastAsia="Arial" w:hAnsi="Times New Roman" w:cs="Times New Roman"/>
          <w:sz w:val="20"/>
          <w:szCs w:val="20"/>
        </w:rPr>
        <w:t>Argo</w:t>
      </w:r>
      <w:proofErr w:type="spellEnd"/>
      <w:r w:rsidRPr="00BF087D">
        <w:rPr>
          <w:rFonts w:ascii="Times New Roman" w:eastAsia="Arial" w:hAnsi="Times New Roman" w:cs="Times New Roman"/>
          <w:sz w:val="20"/>
          <w:szCs w:val="20"/>
        </w:rPr>
        <w:t xml:space="preserve"> fortalecieron la hoja de ruta para la expansión renovable, reduciendo barreras financieras y de infraestructura de transmisión [5].</w:t>
      </w:r>
      <w:r w:rsidRPr="00BF087D">
        <w:rPr>
          <w:rFonts w:ascii="Times New Roman" w:eastAsia="Arial" w:hAnsi="Times New Roman" w:cs="Times New Roman"/>
          <w:sz w:val="20"/>
          <w:szCs w:val="20"/>
        </w:rPr>
        <w:br/>
        <w:t>Este marco regulatorio permitió que, entre 2019 y 2021, se asignaran más de 2.878 MW mediante subastas de energías renovables, consolidando un ecosistema favorable para el crecimiento del sector [3].</w:t>
      </w:r>
    </w:p>
    <w:p w14:paraId="0C354DDC"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BF087D">
        <w:rPr>
          <w:rFonts w:ascii="Times New Roman" w:eastAsia="Arial" w:hAnsi="Times New Roman" w:cs="Times New Roman"/>
          <w:b/>
          <w:bCs/>
          <w:sz w:val="20"/>
          <w:szCs w:val="20"/>
        </w:rPr>
        <w:t xml:space="preserve">4. Machine </w:t>
      </w:r>
      <w:proofErr w:type="spellStart"/>
      <w:r w:rsidRPr="00BF087D">
        <w:rPr>
          <w:rFonts w:ascii="Times New Roman" w:eastAsia="Arial" w:hAnsi="Times New Roman" w:cs="Times New Roman"/>
          <w:b/>
          <w:bCs/>
          <w:sz w:val="20"/>
          <w:szCs w:val="20"/>
        </w:rPr>
        <w:t>Learning</w:t>
      </w:r>
      <w:proofErr w:type="spellEnd"/>
      <w:r w:rsidRPr="00BF087D">
        <w:rPr>
          <w:rFonts w:ascii="Times New Roman" w:eastAsia="Arial" w:hAnsi="Times New Roman" w:cs="Times New Roman"/>
          <w:b/>
          <w:bCs/>
          <w:sz w:val="20"/>
          <w:szCs w:val="20"/>
        </w:rPr>
        <w:t xml:space="preserve"> aplicado a la Transición Energética</w:t>
      </w:r>
    </w:p>
    <w:p w14:paraId="73F8A6A5"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 xml:space="preserve">El aprendizaje automático (Machine </w:t>
      </w:r>
      <w:proofErr w:type="spellStart"/>
      <w:r w:rsidRPr="00BF087D">
        <w:rPr>
          <w:rFonts w:ascii="Times New Roman" w:eastAsia="Arial" w:hAnsi="Times New Roman" w:cs="Times New Roman"/>
          <w:sz w:val="20"/>
          <w:szCs w:val="20"/>
        </w:rPr>
        <w:t>Learning</w:t>
      </w:r>
      <w:proofErr w:type="spellEnd"/>
      <w:r w:rsidRPr="00BF087D">
        <w:rPr>
          <w:rFonts w:ascii="Times New Roman" w:eastAsia="Arial" w:hAnsi="Times New Roman" w:cs="Times New Roman"/>
          <w:sz w:val="20"/>
          <w:szCs w:val="20"/>
        </w:rPr>
        <w:t>, ML) ha demostrado ser una herramienta clave para analizar fenómenos complejos del sector energético. Su capacidad para modelar relaciones no lineales y patrones temporales lo hace idóneo para predecir demanda, generación renovable y expansión de capacidad energética [6], [10].</w:t>
      </w:r>
    </w:p>
    <w:p w14:paraId="251DEAD9"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En este proyecto, el ML permite evaluar si Colombia puede alcanzar la meta de 6 GW de capacidad instalada antes de 2026, utilizando métricas históricas, variables técnicas y datos geoespaciales.</w:t>
      </w:r>
    </w:p>
    <w:p w14:paraId="07C757AF"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4.1. Modelos de referencia (</w:t>
      </w:r>
      <w:proofErr w:type="spellStart"/>
      <w:r w:rsidRPr="00BF087D">
        <w:rPr>
          <w:rFonts w:ascii="Times New Roman" w:eastAsia="Arial" w:hAnsi="Times New Roman" w:cs="Times New Roman"/>
          <w:sz w:val="20"/>
          <w:szCs w:val="20"/>
        </w:rPr>
        <w:t>baseline</w:t>
      </w:r>
      <w:proofErr w:type="spellEnd"/>
      <w:r w:rsidRPr="00BF087D">
        <w:rPr>
          <w:rFonts w:ascii="Times New Roman" w:eastAsia="Arial" w:hAnsi="Times New Roman" w:cs="Times New Roman"/>
          <w:sz w:val="20"/>
          <w:szCs w:val="20"/>
        </w:rPr>
        <w:t>)</w:t>
      </w:r>
    </w:p>
    <w:p w14:paraId="057B87AE"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 xml:space="preserve">Los modelos </w:t>
      </w:r>
      <w:proofErr w:type="spellStart"/>
      <w:r w:rsidRPr="00BF087D">
        <w:rPr>
          <w:rFonts w:ascii="Times New Roman" w:eastAsia="Arial" w:hAnsi="Times New Roman" w:cs="Times New Roman"/>
          <w:sz w:val="20"/>
          <w:szCs w:val="20"/>
        </w:rPr>
        <w:t>baseline</w:t>
      </w:r>
      <w:proofErr w:type="spellEnd"/>
      <w:r w:rsidRPr="00BF087D">
        <w:rPr>
          <w:rFonts w:ascii="Times New Roman" w:eastAsia="Arial" w:hAnsi="Times New Roman" w:cs="Times New Roman"/>
          <w:sz w:val="20"/>
          <w:szCs w:val="20"/>
        </w:rPr>
        <w:t xml:space="preserve"> empleados incluyen:</w:t>
      </w:r>
    </w:p>
    <w:p w14:paraId="6F10CD0A" w14:textId="77777777" w:rsidR="00BF087D" w:rsidRPr="00F347DA" w:rsidRDefault="00BF087D" w:rsidP="00F347DA">
      <w:pPr>
        <w:pStyle w:val="Sinespaciado"/>
        <w:numPr>
          <w:ilvl w:val="0"/>
          <w:numId w:val="22"/>
        </w:numPr>
        <w:rPr>
          <w:rFonts w:ascii="Times New Roman" w:hAnsi="Times New Roman" w:cs="Times New Roman"/>
          <w:sz w:val="20"/>
          <w:szCs w:val="20"/>
        </w:rPr>
      </w:pPr>
      <w:r w:rsidRPr="00F347DA">
        <w:rPr>
          <w:rFonts w:ascii="Times New Roman" w:hAnsi="Times New Roman" w:cs="Times New Roman"/>
          <w:sz w:val="20"/>
          <w:szCs w:val="20"/>
        </w:rPr>
        <w:t>regresión lineal,</w:t>
      </w:r>
    </w:p>
    <w:p w14:paraId="7296E6A0" w14:textId="77777777" w:rsidR="00BF087D" w:rsidRPr="00F347DA" w:rsidRDefault="00BF087D" w:rsidP="00F347DA">
      <w:pPr>
        <w:pStyle w:val="Sinespaciado"/>
        <w:numPr>
          <w:ilvl w:val="0"/>
          <w:numId w:val="22"/>
        </w:numPr>
        <w:rPr>
          <w:rFonts w:ascii="Times New Roman" w:hAnsi="Times New Roman" w:cs="Times New Roman"/>
          <w:sz w:val="20"/>
          <w:szCs w:val="20"/>
        </w:rPr>
      </w:pPr>
      <w:r w:rsidRPr="00F347DA">
        <w:rPr>
          <w:rFonts w:ascii="Times New Roman" w:hAnsi="Times New Roman" w:cs="Times New Roman"/>
          <w:sz w:val="20"/>
          <w:szCs w:val="20"/>
        </w:rPr>
        <w:t>ajustes polinómicos,</w:t>
      </w:r>
    </w:p>
    <w:p w14:paraId="221A7AD8" w14:textId="77777777" w:rsidR="00BF087D" w:rsidRPr="00F347DA" w:rsidRDefault="00BF087D" w:rsidP="00F347DA">
      <w:pPr>
        <w:pStyle w:val="Sinespaciado"/>
        <w:numPr>
          <w:ilvl w:val="0"/>
          <w:numId w:val="22"/>
        </w:numPr>
        <w:rPr>
          <w:rFonts w:ascii="Times New Roman" w:hAnsi="Times New Roman" w:cs="Times New Roman"/>
          <w:sz w:val="20"/>
          <w:szCs w:val="20"/>
        </w:rPr>
      </w:pPr>
      <w:r w:rsidRPr="00F347DA">
        <w:rPr>
          <w:rFonts w:ascii="Times New Roman" w:hAnsi="Times New Roman" w:cs="Times New Roman"/>
          <w:sz w:val="20"/>
          <w:szCs w:val="20"/>
        </w:rPr>
        <w:t>promedios móviles,</w:t>
      </w:r>
    </w:p>
    <w:p w14:paraId="6CE7678A" w14:textId="77777777" w:rsidR="00BF087D" w:rsidRDefault="00BF087D" w:rsidP="00F347DA">
      <w:pPr>
        <w:pStyle w:val="Sinespaciado"/>
        <w:numPr>
          <w:ilvl w:val="0"/>
          <w:numId w:val="22"/>
        </w:numPr>
        <w:rPr>
          <w:rFonts w:ascii="Times New Roman" w:hAnsi="Times New Roman" w:cs="Times New Roman"/>
          <w:sz w:val="20"/>
          <w:szCs w:val="20"/>
        </w:rPr>
      </w:pPr>
      <w:r w:rsidRPr="00F347DA">
        <w:rPr>
          <w:rFonts w:ascii="Times New Roman" w:hAnsi="Times New Roman" w:cs="Times New Roman"/>
          <w:sz w:val="20"/>
          <w:szCs w:val="20"/>
        </w:rPr>
        <w:t>suavización exponencial [6], [11].</w:t>
      </w:r>
    </w:p>
    <w:p w14:paraId="15A03A3E" w14:textId="77777777" w:rsidR="00F347DA" w:rsidRPr="00F347DA" w:rsidRDefault="00F347DA" w:rsidP="00F347DA">
      <w:pPr>
        <w:pStyle w:val="Sinespaciado"/>
        <w:rPr>
          <w:rFonts w:ascii="Times New Roman" w:hAnsi="Times New Roman" w:cs="Times New Roman"/>
          <w:sz w:val="20"/>
          <w:szCs w:val="20"/>
        </w:rPr>
      </w:pPr>
    </w:p>
    <w:p w14:paraId="047C0662"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4.2. Modelos avanzados de series de tiempo</w:t>
      </w:r>
    </w:p>
    <w:p w14:paraId="250D8AC9"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Entre los modelos de mayor profundidad aplicados se incluyen:</w:t>
      </w:r>
    </w:p>
    <w:p w14:paraId="139208CE" w14:textId="77777777" w:rsidR="00BF087D" w:rsidRPr="00F347DA" w:rsidRDefault="00BF087D" w:rsidP="00F347DA">
      <w:pPr>
        <w:pStyle w:val="Sinespaciado"/>
        <w:numPr>
          <w:ilvl w:val="0"/>
          <w:numId w:val="23"/>
        </w:numPr>
        <w:rPr>
          <w:rFonts w:ascii="Times New Roman" w:hAnsi="Times New Roman" w:cs="Times New Roman"/>
          <w:sz w:val="20"/>
          <w:szCs w:val="20"/>
        </w:rPr>
      </w:pPr>
      <w:r w:rsidRPr="00F347DA">
        <w:rPr>
          <w:rFonts w:ascii="Times New Roman" w:hAnsi="Times New Roman" w:cs="Times New Roman"/>
          <w:sz w:val="20"/>
          <w:szCs w:val="20"/>
        </w:rPr>
        <w:t>Holt-</w:t>
      </w:r>
      <w:proofErr w:type="spellStart"/>
      <w:r w:rsidRPr="00F347DA">
        <w:rPr>
          <w:rFonts w:ascii="Times New Roman" w:hAnsi="Times New Roman" w:cs="Times New Roman"/>
          <w:sz w:val="20"/>
          <w:szCs w:val="20"/>
        </w:rPr>
        <w:t>Winters</w:t>
      </w:r>
      <w:proofErr w:type="spellEnd"/>
      <w:r w:rsidRPr="00F347DA">
        <w:rPr>
          <w:rFonts w:ascii="Times New Roman" w:hAnsi="Times New Roman" w:cs="Times New Roman"/>
          <w:sz w:val="20"/>
          <w:szCs w:val="20"/>
        </w:rPr>
        <w:t>: basado en suavización exponencial con tendencia y estacionalidad [11], [12].</w:t>
      </w:r>
    </w:p>
    <w:p w14:paraId="64687AC2" w14:textId="77777777" w:rsidR="00BF087D" w:rsidRPr="00F347DA" w:rsidRDefault="00BF087D" w:rsidP="00F347DA">
      <w:pPr>
        <w:pStyle w:val="Sinespaciado"/>
        <w:numPr>
          <w:ilvl w:val="0"/>
          <w:numId w:val="23"/>
        </w:numPr>
        <w:rPr>
          <w:rFonts w:ascii="Times New Roman" w:hAnsi="Times New Roman" w:cs="Times New Roman"/>
          <w:sz w:val="20"/>
          <w:szCs w:val="20"/>
        </w:rPr>
      </w:pPr>
      <w:r w:rsidRPr="00F347DA">
        <w:rPr>
          <w:rFonts w:ascii="Times New Roman" w:hAnsi="Times New Roman" w:cs="Times New Roman"/>
          <w:sz w:val="20"/>
          <w:szCs w:val="20"/>
        </w:rPr>
        <w:t>ARIMA: descartado debido a la violación de supuestos de estacionariedad [13].</w:t>
      </w:r>
    </w:p>
    <w:p w14:paraId="173A5FF6" w14:textId="77777777" w:rsidR="00BF087D" w:rsidRDefault="00BF087D" w:rsidP="00F347DA">
      <w:pPr>
        <w:pStyle w:val="Sinespaciado"/>
        <w:numPr>
          <w:ilvl w:val="0"/>
          <w:numId w:val="23"/>
        </w:numPr>
        <w:rPr>
          <w:rFonts w:ascii="Times New Roman" w:hAnsi="Times New Roman" w:cs="Times New Roman"/>
          <w:sz w:val="20"/>
          <w:szCs w:val="20"/>
        </w:rPr>
      </w:pPr>
      <w:proofErr w:type="spellStart"/>
      <w:r w:rsidRPr="00F347DA">
        <w:rPr>
          <w:rFonts w:ascii="Times New Roman" w:hAnsi="Times New Roman" w:cs="Times New Roman"/>
          <w:sz w:val="20"/>
          <w:szCs w:val="20"/>
        </w:rPr>
        <w:t>Prophet</w:t>
      </w:r>
      <w:proofErr w:type="spellEnd"/>
      <w:r w:rsidRPr="00F347DA">
        <w:rPr>
          <w:rFonts w:ascii="Times New Roman" w:hAnsi="Times New Roman" w:cs="Times New Roman"/>
          <w:sz w:val="20"/>
          <w:szCs w:val="20"/>
        </w:rPr>
        <w:t>: modelo estructural aditivo basado en detección de puntos de cambio y estacionalidades múltiples [10].</w:t>
      </w:r>
    </w:p>
    <w:p w14:paraId="0642CF90" w14:textId="77777777" w:rsidR="00F347DA" w:rsidRPr="00F347DA" w:rsidRDefault="00F347DA" w:rsidP="00F347DA">
      <w:pPr>
        <w:pStyle w:val="Sinespaciado"/>
        <w:ind w:left="720"/>
        <w:rPr>
          <w:rFonts w:ascii="Times New Roman" w:hAnsi="Times New Roman" w:cs="Times New Roman"/>
          <w:sz w:val="20"/>
          <w:szCs w:val="20"/>
        </w:rPr>
      </w:pPr>
    </w:p>
    <w:p w14:paraId="35802108" w14:textId="77777777" w:rsidR="00BF087D" w:rsidRPr="00BF087D" w:rsidRDefault="00BF087D"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BF087D">
        <w:rPr>
          <w:rFonts w:ascii="Times New Roman" w:eastAsia="Arial" w:hAnsi="Times New Roman" w:cs="Times New Roman"/>
          <w:sz w:val="20"/>
          <w:szCs w:val="20"/>
        </w:rPr>
        <w:t>Los resultados del análisis muestran que Holt-</w:t>
      </w:r>
      <w:proofErr w:type="spellStart"/>
      <w:r w:rsidRPr="00BF087D">
        <w:rPr>
          <w:rFonts w:ascii="Times New Roman" w:eastAsia="Arial" w:hAnsi="Times New Roman" w:cs="Times New Roman"/>
          <w:sz w:val="20"/>
          <w:szCs w:val="20"/>
        </w:rPr>
        <w:t>Winters</w:t>
      </w:r>
      <w:proofErr w:type="spellEnd"/>
      <w:r w:rsidRPr="00BF087D">
        <w:rPr>
          <w:rFonts w:ascii="Times New Roman" w:eastAsia="Arial" w:hAnsi="Times New Roman" w:cs="Times New Roman"/>
          <w:sz w:val="20"/>
          <w:szCs w:val="20"/>
        </w:rPr>
        <w:t xml:space="preserve"> (multiplicativo-aditivo) obtiene un RMSE 72% menor que métodos como promedios móviles, gracias a su capacidad para capturar el crecimiento exponencial de la capacidad instalada solar.</w:t>
      </w:r>
    </w:p>
    <w:p w14:paraId="20F9780C" w14:textId="77777777" w:rsidR="00735353" w:rsidRDefault="00BF087D"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5</w:t>
      </w:r>
      <w:r w:rsidR="00DB4A36" w:rsidRPr="00505398">
        <w:rPr>
          <w:rFonts w:ascii="Times New Roman" w:eastAsia="Arial" w:hAnsi="Times New Roman" w:cs="Times New Roman"/>
          <w:b/>
          <w:bCs/>
          <w:sz w:val="20"/>
          <w:szCs w:val="20"/>
        </w:rPr>
        <w:t>. Seguridad Energética</w:t>
      </w:r>
    </w:p>
    <w:p w14:paraId="65BD1643" w14:textId="237A2C12" w:rsidR="00DB4A36" w:rsidRPr="00505398" w:rsidRDefault="00DB4A36"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505398">
        <w:rPr>
          <w:rFonts w:ascii="Times New Roman" w:eastAsia="Arial" w:hAnsi="Times New Roman" w:cs="Times New Roman"/>
          <w:sz w:val="20"/>
          <w:szCs w:val="20"/>
        </w:rPr>
        <w:t>La seguridad energética se refiere a la disponibilidad continua y estable de energía a precios accesibles. En países como Colombia, depende en gran medida de la diversificación de la matriz eléctrica para evitar vulnerabilidades generadas por fenómenos climáticos que afectan la hidroelectricidad</w:t>
      </w:r>
      <w:r w:rsidR="00662C2D" w:rsidRPr="00505398">
        <w:rPr>
          <w:rFonts w:ascii="Times New Roman" w:eastAsia="Arial" w:hAnsi="Times New Roman" w:cs="Times New Roman"/>
          <w:sz w:val="20"/>
          <w:szCs w:val="20"/>
        </w:rPr>
        <w:t xml:space="preserve"> </w:t>
      </w:r>
      <w:r w:rsidR="00662C2D" w:rsidRPr="00505398">
        <w:rPr>
          <w:rFonts w:ascii="Times New Roman" w:eastAsia="Arial" w:hAnsi="Times New Roman" w:cs="Times New Roman"/>
          <w:sz w:val="20"/>
          <w:szCs w:val="20"/>
        </w:rPr>
        <w:t>[</w:t>
      </w:r>
      <w:r w:rsidR="00505398" w:rsidRPr="00505398">
        <w:rPr>
          <w:rFonts w:ascii="Times New Roman" w:eastAsia="Arial" w:hAnsi="Times New Roman" w:cs="Times New Roman"/>
          <w:sz w:val="20"/>
          <w:szCs w:val="20"/>
        </w:rPr>
        <w:t>1</w:t>
      </w:r>
      <w:r w:rsidR="00662C2D" w:rsidRPr="00505398">
        <w:rPr>
          <w:rFonts w:ascii="Times New Roman" w:eastAsia="Arial" w:hAnsi="Times New Roman" w:cs="Times New Roman"/>
          <w:sz w:val="20"/>
          <w:szCs w:val="20"/>
        </w:rPr>
        <w:t>4</w:t>
      </w:r>
      <w:r w:rsidR="00662C2D" w:rsidRPr="00505398">
        <w:rPr>
          <w:rFonts w:ascii="Times New Roman" w:eastAsia="Arial" w:hAnsi="Times New Roman" w:cs="Times New Roman"/>
          <w:sz w:val="20"/>
          <w:szCs w:val="20"/>
        </w:rPr>
        <w:t>]</w:t>
      </w:r>
      <w:r w:rsidRPr="00505398">
        <w:rPr>
          <w:rFonts w:ascii="Times New Roman" w:eastAsia="Arial" w:hAnsi="Times New Roman" w:cs="Times New Roman"/>
          <w:sz w:val="20"/>
          <w:szCs w:val="20"/>
        </w:rPr>
        <w:t>.</w:t>
      </w:r>
    </w:p>
    <w:p w14:paraId="3047EB1F" w14:textId="6126EB42" w:rsidR="00DB4A36" w:rsidRPr="00505398" w:rsidRDefault="00DB4A36"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1</w:t>
      </w:r>
      <w:r w:rsidR="00505398" w:rsidRPr="00505398">
        <w:rPr>
          <w:rFonts w:ascii="Times New Roman" w:eastAsia="Arial" w:hAnsi="Times New Roman" w:cs="Times New Roman"/>
          <w:b/>
          <w:bCs/>
          <w:sz w:val="20"/>
          <w:szCs w:val="20"/>
        </w:rPr>
        <w:t>1</w:t>
      </w:r>
      <w:r w:rsidRPr="00505398">
        <w:rPr>
          <w:rFonts w:ascii="Times New Roman" w:eastAsia="Arial" w:hAnsi="Times New Roman" w:cs="Times New Roman"/>
          <w:b/>
          <w:bCs/>
          <w:sz w:val="20"/>
          <w:szCs w:val="20"/>
        </w:rPr>
        <w:t>. Energía Solar Fotovoltaica (PV)</w:t>
      </w:r>
    </w:p>
    <w:p w14:paraId="5213C453" w14:textId="00597317" w:rsidR="00DB4A36" w:rsidRPr="00505398" w:rsidRDefault="00DB4A36"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505398">
        <w:rPr>
          <w:rFonts w:ascii="Times New Roman" w:eastAsia="Arial" w:hAnsi="Times New Roman" w:cs="Times New Roman"/>
          <w:b/>
          <w:bCs/>
          <w:sz w:val="20"/>
          <w:szCs w:val="20"/>
        </w:rPr>
        <w:t>L</w:t>
      </w:r>
      <w:r w:rsidRPr="00505398">
        <w:rPr>
          <w:rFonts w:ascii="Times New Roman" w:eastAsia="Arial" w:hAnsi="Times New Roman" w:cs="Times New Roman"/>
          <w:sz w:val="20"/>
          <w:szCs w:val="20"/>
        </w:rPr>
        <w:t>a energía solar fotovoltaica convierte la radiación solar en electricidad mediante el efecto fotoeléctrico. Su rápida reducción de costos y fácil instalación han impulsado su crecimiento en países emergentes como Colombia</w:t>
      </w:r>
      <w:r w:rsidR="00662C2D" w:rsidRPr="00505398">
        <w:rPr>
          <w:rFonts w:ascii="Times New Roman" w:eastAsia="Arial" w:hAnsi="Times New Roman" w:cs="Times New Roman"/>
          <w:sz w:val="20"/>
          <w:szCs w:val="20"/>
        </w:rPr>
        <w:t xml:space="preserve"> </w:t>
      </w:r>
      <w:r w:rsidR="00662C2D" w:rsidRPr="00505398">
        <w:rPr>
          <w:rFonts w:ascii="Times New Roman" w:eastAsia="Arial" w:hAnsi="Times New Roman" w:cs="Times New Roman"/>
          <w:sz w:val="20"/>
          <w:szCs w:val="20"/>
        </w:rPr>
        <w:t>[</w:t>
      </w:r>
      <w:r w:rsidR="00F347DA">
        <w:rPr>
          <w:rFonts w:ascii="Times New Roman" w:eastAsia="Arial" w:hAnsi="Times New Roman" w:cs="Times New Roman"/>
          <w:sz w:val="20"/>
          <w:szCs w:val="20"/>
        </w:rPr>
        <w:t>1</w:t>
      </w:r>
      <w:r w:rsidR="00735353">
        <w:rPr>
          <w:rFonts w:ascii="Times New Roman" w:eastAsia="Arial" w:hAnsi="Times New Roman" w:cs="Times New Roman"/>
          <w:sz w:val="20"/>
          <w:szCs w:val="20"/>
        </w:rPr>
        <w:t>5</w:t>
      </w:r>
      <w:r w:rsidR="00662C2D" w:rsidRPr="00505398">
        <w:rPr>
          <w:rFonts w:ascii="Times New Roman" w:eastAsia="Arial" w:hAnsi="Times New Roman" w:cs="Times New Roman"/>
          <w:sz w:val="20"/>
          <w:szCs w:val="20"/>
        </w:rPr>
        <w:t>]</w:t>
      </w:r>
      <w:r w:rsidRPr="00505398">
        <w:rPr>
          <w:rFonts w:ascii="Times New Roman" w:eastAsia="Arial" w:hAnsi="Times New Roman" w:cs="Times New Roman"/>
          <w:sz w:val="20"/>
          <w:szCs w:val="20"/>
        </w:rPr>
        <w:t>.</w:t>
      </w:r>
    </w:p>
    <w:p w14:paraId="4EF71C5B" w14:textId="4F9A9000" w:rsidR="00DB4A36" w:rsidRPr="00505398" w:rsidRDefault="00505398"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12</w:t>
      </w:r>
      <w:r w:rsidR="00DB4A36" w:rsidRPr="00505398">
        <w:rPr>
          <w:rFonts w:ascii="Times New Roman" w:eastAsia="Arial" w:hAnsi="Times New Roman" w:cs="Times New Roman"/>
          <w:b/>
          <w:bCs/>
          <w:sz w:val="20"/>
          <w:szCs w:val="20"/>
        </w:rPr>
        <w:t>. Energía Eólica</w:t>
      </w:r>
    </w:p>
    <w:p w14:paraId="7907B0FD" w14:textId="7068B30B" w:rsidR="00DB4A36" w:rsidRPr="00505398" w:rsidRDefault="00DB4A36"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505398">
        <w:rPr>
          <w:rFonts w:ascii="Times New Roman" w:eastAsia="Arial" w:hAnsi="Times New Roman" w:cs="Times New Roman"/>
          <w:sz w:val="20"/>
          <w:szCs w:val="20"/>
        </w:rPr>
        <w:t>La energía eólica aprovecha la velocidad del viento para generar electricidad. El recurso eólico colombiano, especialmente en La Guajira, está entre los más altos de América Latina</w:t>
      </w:r>
      <w:r w:rsidR="00662C2D" w:rsidRPr="00505398">
        <w:rPr>
          <w:rFonts w:ascii="Times New Roman" w:eastAsia="Arial" w:hAnsi="Times New Roman" w:cs="Times New Roman"/>
          <w:sz w:val="20"/>
          <w:szCs w:val="20"/>
        </w:rPr>
        <w:t xml:space="preserve"> </w:t>
      </w:r>
      <w:r w:rsidR="00662C2D" w:rsidRPr="00505398">
        <w:rPr>
          <w:rFonts w:ascii="Times New Roman" w:eastAsia="Arial" w:hAnsi="Times New Roman" w:cs="Times New Roman"/>
          <w:sz w:val="20"/>
          <w:szCs w:val="20"/>
        </w:rPr>
        <w:t>[</w:t>
      </w:r>
      <w:r w:rsidR="00F347DA">
        <w:rPr>
          <w:rFonts w:ascii="Times New Roman" w:eastAsia="Arial" w:hAnsi="Times New Roman" w:cs="Times New Roman"/>
          <w:sz w:val="20"/>
          <w:szCs w:val="20"/>
        </w:rPr>
        <w:t>1</w:t>
      </w:r>
      <w:r w:rsidR="00735353">
        <w:rPr>
          <w:rFonts w:ascii="Times New Roman" w:eastAsia="Arial" w:hAnsi="Times New Roman" w:cs="Times New Roman"/>
          <w:sz w:val="20"/>
          <w:szCs w:val="20"/>
        </w:rPr>
        <w:t>6</w:t>
      </w:r>
      <w:r w:rsidR="00662C2D" w:rsidRPr="00505398">
        <w:rPr>
          <w:rFonts w:ascii="Times New Roman" w:eastAsia="Arial" w:hAnsi="Times New Roman" w:cs="Times New Roman"/>
          <w:sz w:val="20"/>
          <w:szCs w:val="20"/>
        </w:rPr>
        <w:t>]</w:t>
      </w:r>
      <w:r w:rsidRPr="00505398">
        <w:rPr>
          <w:rFonts w:ascii="Times New Roman" w:eastAsia="Arial" w:hAnsi="Times New Roman" w:cs="Times New Roman"/>
          <w:sz w:val="20"/>
          <w:szCs w:val="20"/>
        </w:rPr>
        <w:t>.</w:t>
      </w:r>
    </w:p>
    <w:p w14:paraId="4530D549" w14:textId="77777777" w:rsidR="00DC0ED5" w:rsidRPr="00505398" w:rsidRDefault="00DC0ED5"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p>
    <w:p w14:paraId="7AE6B517" w14:textId="711AB091" w:rsidR="007516B7" w:rsidRPr="00505398" w:rsidRDefault="007516B7" w:rsidP="00F347DA">
      <w:pPr>
        <w:pStyle w:val="Prrafodelista"/>
        <w:numPr>
          <w:ilvl w:val="0"/>
          <w:numId w:val="9"/>
        </w:numPr>
        <w:pBdr>
          <w:top w:val="nil"/>
          <w:left w:val="nil"/>
          <w:bottom w:val="nil"/>
          <w:right w:val="nil"/>
          <w:between w:val="nil"/>
        </w:pBdr>
        <w:spacing w:line="252" w:lineRule="auto"/>
        <w:jc w:val="center"/>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METODOLOGI</w:t>
      </w:r>
      <w:r w:rsidR="00AB0696" w:rsidRPr="00505398">
        <w:rPr>
          <w:rFonts w:ascii="Times New Roman" w:eastAsia="Arial" w:hAnsi="Times New Roman" w:cs="Times New Roman"/>
          <w:b/>
          <w:bCs/>
          <w:sz w:val="20"/>
          <w:szCs w:val="20"/>
        </w:rPr>
        <w:t>A</w:t>
      </w:r>
    </w:p>
    <w:p w14:paraId="5E0A0565" w14:textId="77777777" w:rsidR="00AB0696" w:rsidRPr="00505398" w:rsidRDefault="00AB0696"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505398">
        <w:rPr>
          <w:rFonts w:ascii="Times New Roman" w:eastAsia="Arial" w:hAnsi="Times New Roman" w:cs="Times New Roman"/>
          <w:sz w:val="20"/>
          <w:szCs w:val="20"/>
        </w:rPr>
        <w:lastRenderedPageBreak/>
        <w:t xml:space="preserve">La metodología empleada para el desarrollo de este proyecto se basa en el marco </w:t>
      </w:r>
      <w:r w:rsidRPr="00505398">
        <w:rPr>
          <w:rFonts w:ascii="Times New Roman" w:eastAsia="Arial" w:hAnsi="Times New Roman" w:cs="Times New Roman"/>
          <w:b/>
          <w:bCs/>
          <w:sz w:val="20"/>
          <w:szCs w:val="20"/>
        </w:rPr>
        <w:t>ASUM-DM (</w:t>
      </w:r>
      <w:proofErr w:type="spellStart"/>
      <w:r w:rsidRPr="00505398">
        <w:rPr>
          <w:rFonts w:ascii="Times New Roman" w:eastAsia="Arial" w:hAnsi="Times New Roman" w:cs="Times New Roman"/>
          <w:b/>
          <w:bCs/>
          <w:sz w:val="20"/>
          <w:szCs w:val="20"/>
        </w:rPr>
        <w:t>Analytics</w:t>
      </w:r>
      <w:proofErr w:type="spellEnd"/>
      <w:r w:rsidRPr="00505398">
        <w:rPr>
          <w:rFonts w:ascii="Times New Roman" w:eastAsia="Arial" w:hAnsi="Times New Roman" w:cs="Times New Roman"/>
          <w:b/>
          <w:bCs/>
          <w:sz w:val="20"/>
          <w:szCs w:val="20"/>
        </w:rPr>
        <w:t xml:space="preserve"> </w:t>
      </w:r>
      <w:proofErr w:type="spellStart"/>
      <w:r w:rsidRPr="00505398">
        <w:rPr>
          <w:rFonts w:ascii="Times New Roman" w:eastAsia="Arial" w:hAnsi="Times New Roman" w:cs="Times New Roman"/>
          <w:b/>
          <w:bCs/>
          <w:sz w:val="20"/>
          <w:szCs w:val="20"/>
        </w:rPr>
        <w:t>Solutions</w:t>
      </w:r>
      <w:proofErr w:type="spellEnd"/>
      <w:r w:rsidRPr="00505398">
        <w:rPr>
          <w:rFonts w:ascii="Times New Roman" w:eastAsia="Arial" w:hAnsi="Times New Roman" w:cs="Times New Roman"/>
          <w:b/>
          <w:bCs/>
          <w:sz w:val="20"/>
          <w:szCs w:val="20"/>
        </w:rPr>
        <w:t xml:space="preserve"> </w:t>
      </w:r>
      <w:proofErr w:type="spellStart"/>
      <w:r w:rsidRPr="00505398">
        <w:rPr>
          <w:rFonts w:ascii="Times New Roman" w:eastAsia="Arial" w:hAnsi="Times New Roman" w:cs="Times New Roman"/>
          <w:b/>
          <w:bCs/>
          <w:sz w:val="20"/>
          <w:szCs w:val="20"/>
        </w:rPr>
        <w:t>Unified</w:t>
      </w:r>
      <w:proofErr w:type="spellEnd"/>
      <w:r w:rsidRPr="00505398">
        <w:rPr>
          <w:rFonts w:ascii="Times New Roman" w:eastAsia="Arial" w:hAnsi="Times New Roman" w:cs="Times New Roman"/>
          <w:b/>
          <w:bCs/>
          <w:sz w:val="20"/>
          <w:szCs w:val="20"/>
        </w:rPr>
        <w:t xml:space="preserve"> </w:t>
      </w:r>
      <w:proofErr w:type="spellStart"/>
      <w:r w:rsidRPr="00505398">
        <w:rPr>
          <w:rFonts w:ascii="Times New Roman" w:eastAsia="Arial" w:hAnsi="Times New Roman" w:cs="Times New Roman"/>
          <w:b/>
          <w:bCs/>
          <w:sz w:val="20"/>
          <w:szCs w:val="20"/>
        </w:rPr>
        <w:t>Method</w:t>
      </w:r>
      <w:proofErr w:type="spellEnd"/>
      <w:r w:rsidRPr="00505398">
        <w:rPr>
          <w:rFonts w:ascii="Times New Roman" w:eastAsia="Arial" w:hAnsi="Times New Roman" w:cs="Times New Roman"/>
          <w:b/>
          <w:bCs/>
          <w:sz w:val="20"/>
          <w:szCs w:val="20"/>
        </w:rPr>
        <w:t xml:space="preserve"> </w:t>
      </w:r>
      <w:proofErr w:type="spellStart"/>
      <w:r w:rsidRPr="00505398">
        <w:rPr>
          <w:rFonts w:ascii="Times New Roman" w:eastAsia="Arial" w:hAnsi="Times New Roman" w:cs="Times New Roman"/>
          <w:b/>
          <w:bCs/>
          <w:sz w:val="20"/>
          <w:szCs w:val="20"/>
        </w:rPr>
        <w:t>for</w:t>
      </w:r>
      <w:proofErr w:type="spellEnd"/>
      <w:r w:rsidRPr="00505398">
        <w:rPr>
          <w:rFonts w:ascii="Times New Roman" w:eastAsia="Arial" w:hAnsi="Times New Roman" w:cs="Times New Roman"/>
          <w:b/>
          <w:bCs/>
          <w:sz w:val="20"/>
          <w:szCs w:val="20"/>
        </w:rPr>
        <w:t xml:space="preserve"> Data </w:t>
      </w:r>
      <w:proofErr w:type="spellStart"/>
      <w:r w:rsidRPr="00505398">
        <w:rPr>
          <w:rFonts w:ascii="Times New Roman" w:eastAsia="Arial" w:hAnsi="Times New Roman" w:cs="Times New Roman"/>
          <w:b/>
          <w:bCs/>
          <w:sz w:val="20"/>
          <w:szCs w:val="20"/>
        </w:rPr>
        <w:t>Mining</w:t>
      </w:r>
      <w:proofErr w:type="spellEnd"/>
      <w:r w:rsidRPr="00505398">
        <w:rPr>
          <w:rFonts w:ascii="Times New Roman" w:eastAsia="Arial" w:hAnsi="Times New Roman" w:cs="Times New Roman"/>
          <w:b/>
          <w:bCs/>
          <w:sz w:val="20"/>
          <w:szCs w:val="20"/>
        </w:rPr>
        <w:t>)</w:t>
      </w:r>
      <w:r w:rsidRPr="00505398">
        <w:rPr>
          <w:rFonts w:ascii="Times New Roman" w:eastAsia="Arial" w:hAnsi="Times New Roman" w:cs="Times New Roman"/>
          <w:sz w:val="20"/>
          <w:szCs w:val="20"/>
        </w:rPr>
        <w:t xml:space="preserve">, una adaptación moderna del modelo CRISP-DM que integra componentes técnicos, analíticos y de arquitectura de datos. Esta metodología permite abordar de forma estructurada todas las etapas necesarias para el diseño, construcción y validación de modelos de Machine </w:t>
      </w:r>
      <w:proofErr w:type="spellStart"/>
      <w:r w:rsidRPr="00505398">
        <w:rPr>
          <w:rFonts w:ascii="Times New Roman" w:eastAsia="Arial" w:hAnsi="Times New Roman" w:cs="Times New Roman"/>
          <w:sz w:val="20"/>
          <w:szCs w:val="20"/>
        </w:rPr>
        <w:t>Learning</w:t>
      </w:r>
      <w:proofErr w:type="spellEnd"/>
      <w:r w:rsidRPr="00505398">
        <w:rPr>
          <w:rFonts w:ascii="Times New Roman" w:eastAsia="Arial" w:hAnsi="Times New Roman" w:cs="Times New Roman"/>
          <w:sz w:val="20"/>
          <w:szCs w:val="20"/>
        </w:rPr>
        <w:t xml:space="preserve"> aplicados a la transición energética en Colombia.</w:t>
      </w:r>
    </w:p>
    <w:p w14:paraId="1228BB4B" w14:textId="5FE743CA" w:rsidR="00DC0ED5" w:rsidRPr="00505398" w:rsidRDefault="001C0399"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4.1</w:t>
      </w:r>
      <w:r w:rsidR="00CB6663" w:rsidRPr="00505398">
        <w:rPr>
          <w:rFonts w:ascii="Times New Roman" w:eastAsia="Arial" w:hAnsi="Times New Roman" w:cs="Times New Roman"/>
          <w:b/>
          <w:bCs/>
          <w:sz w:val="20"/>
          <w:szCs w:val="20"/>
        </w:rPr>
        <w:t xml:space="preserve">. </w:t>
      </w:r>
      <w:r w:rsidR="00DC0ED5" w:rsidRPr="00505398">
        <w:rPr>
          <w:rFonts w:ascii="Times New Roman" w:eastAsia="Arial" w:hAnsi="Times New Roman" w:cs="Times New Roman"/>
          <w:b/>
          <w:bCs/>
          <w:sz w:val="20"/>
          <w:szCs w:val="20"/>
        </w:rPr>
        <w:t xml:space="preserve">Marco </w:t>
      </w:r>
      <w:r w:rsidRPr="00505398">
        <w:rPr>
          <w:rFonts w:ascii="Times New Roman" w:eastAsia="Arial" w:hAnsi="Times New Roman" w:cs="Times New Roman"/>
          <w:b/>
          <w:bCs/>
          <w:sz w:val="20"/>
          <w:szCs w:val="20"/>
        </w:rPr>
        <w:t>metodológico</w:t>
      </w:r>
    </w:p>
    <w:p w14:paraId="16DF9519" w14:textId="7B65F9AF" w:rsidR="00CB6663" w:rsidRPr="00505398" w:rsidRDefault="00CB6663" w:rsidP="00F347DA">
      <w:pPr>
        <w:pStyle w:val="Prrafodelista"/>
        <w:numPr>
          <w:ilvl w:val="0"/>
          <w:numId w:val="10"/>
        </w:num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 xml:space="preserve">Preparación y comprensión </w:t>
      </w:r>
    </w:p>
    <w:p w14:paraId="3D90D6B2" w14:textId="77777777" w:rsidR="001C0399" w:rsidRPr="00505398" w:rsidRDefault="001C0399" w:rsidP="00F347DA">
      <w:pPr>
        <w:pBdr>
          <w:top w:val="nil"/>
          <w:left w:val="nil"/>
          <w:bottom w:val="nil"/>
          <w:right w:val="nil"/>
          <w:between w:val="nil"/>
        </w:pBdr>
        <w:spacing w:line="252" w:lineRule="auto"/>
        <w:ind w:left="360"/>
        <w:jc w:val="both"/>
        <w:rPr>
          <w:rFonts w:ascii="Times New Roman" w:eastAsia="Arial" w:hAnsi="Times New Roman" w:cs="Times New Roman"/>
          <w:sz w:val="20"/>
          <w:szCs w:val="20"/>
        </w:rPr>
      </w:pPr>
      <w:r w:rsidRPr="00505398">
        <w:rPr>
          <w:rFonts w:ascii="Times New Roman" w:eastAsia="Arial" w:hAnsi="Times New Roman" w:cs="Times New Roman"/>
          <w:sz w:val="20"/>
          <w:szCs w:val="20"/>
        </w:rPr>
        <w:t xml:space="preserve">En esta fase se definieron los objetivos, el alcance, los roles y los recursos necesarios para el proyecto, acompañados de una evaluación del nivel de preparación institucional y técnico. Asimismo, se realizó la comprensión del negocio mediante la identificación de </w:t>
      </w:r>
      <w:proofErr w:type="spellStart"/>
      <w:r w:rsidRPr="00505398">
        <w:rPr>
          <w:rFonts w:ascii="Times New Roman" w:eastAsia="Arial" w:hAnsi="Times New Roman" w:cs="Times New Roman"/>
          <w:sz w:val="20"/>
          <w:szCs w:val="20"/>
        </w:rPr>
        <w:t>stakeholders</w:t>
      </w:r>
      <w:proofErr w:type="spellEnd"/>
      <w:r w:rsidRPr="00505398">
        <w:rPr>
          <w:rFonts w:ascii="Times New Roman" w:eastAsia="Arial" w:hAnsi="Times New Roman" w:cs="Times New Roman"/>
          <w:sz w:val="20"/>
          <w:szCs w:val="20"/>
        </w:rPr>
        <w:t>, requerimientos y criterios de éxito, y se llevó a cabo la exploración y validación preliminar de la calidad de los datos, utilizando como base un conjunto de información histórica de la UPME actualizado hasta septiembre de 2025.</w:t>
      </w:r>
    </w:p>
    <w:p w14:paraId="50828249" w14:textId="27B749A4" w:rsidR="00F5484D" w:rsidRPr="00505398" w:rsidRDefault="00F5484D" w:rsidP="00F347DA">
      <w:pPr>
        <w:pStyle w:val="Prrafodelista"/>
        <w:numPr>
          <w:ilvl w:val="0"/>
          <w:numId w:val="10"/>
        </w:num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Diseño e infraestructura</w:t>
      </w:r>
    </w:p>
    <w:p w14:paraId="7CD93331" w14:textId="77777777" w:rsidR="001C0399" w:rsidRPr="00505398" w:rsidRDefault="001C0399" w:rsidP="00F347DA">
      <w:pPr>
        <w:pBdr>
          <w:top w:val="nil"/>
          <w:left w:val="nil"/>
          <w:bottom w:val="nil"/>
          <w:right w:val="nil"/>
          <w:between w:val="nil"/>
        </w:pBdr>
        <w:spacing w:line="252" w:lineRule="auto"/>
        <w:ind w:left="360"/>
        <w:jc w:val="both"/>
        <w:rPr>
          <w:rFonts w:ascii="Times New Roman" w:eastAsia="Arial" w:hAnsi="Times New Roman" w:cs="Times New Roman"/>
          <w:sz w:val="20"/>
          <w:szCs w:val="20"/>
        </w:rPr>
      </w:pPr>
      <w:r w:rsidRPr="00505398">
        <w:rPr>
          <w:rFonts w:ascii="Times New Roman" w:eastAsia="Arial" w:hAnsi="Times New Roman" w:cs="Times New Roman"/>
          <w:sz w:val="20"/>
          <w:szCs w:val="20"/>
        </w:rPr>
        <w:t>En esta fase se estableció la arquitectura tecnológica necesaria para soportar el análisis, seleccionando las herramientas, lenguajes y entornos de software adecuados. También se configuraron los entornos de desarrollo, prueba y ejecución, y se construyeron los pipelines de datos destinados a asegurar la trazabilidad, consistencia y disponibilidad del conjunto de información requerido para el modelado.</w:t>
      </w:r>
    </w:p>
    <w:p w14:paraId="289E7315" w14:textId="411C7C4B" w:rsidR="00B44467" w:rsidRPr="00505398" w:rsidRDefault="00B44467" w:rsidP="00F347DA">
      <w:pPr>
        <w:pStyle w:val="Prrafodelista"/>
        <w:numPr>
          <w:ilvl w:val="0"/>
          <w:numId w:val="10"/>
        </w:num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Desarrollo del modelo</w:t>
      </w:r>
    </w:p>
    <w:p w14:paraId="5D2B327E" w14:textId="77777777" w:rsidR="001C0399" w:rsidRPr="00505398" w:rsidRDefault="001C0399" w:rsidP="00F347DA">
      <w:pPr>
        <w:pStyle w:val="NormalWeb"/>
        <w:spacing w:line="252" w:lineRule="auto"/>
        <w:ind w:left="360"/>
        <w:jc w:val="both"/>
        <w:rPr>
          <w:sz w:val="20"/>
          <w:szCs w:val="20"/>
        </w:rPr>
      </w:pPr>
      <w:r w:rsidRPr="00505398">
        <w:rPr>
          <w:sz w:val="20"/>
          <w:szCs w:val="20"/>
        </w:rPr>
        <w:t>En esta fase se llevó a cabo una revisión exhaustiva del conjunto de datos, incluyendo limpieza, depuración, tratamiento de valores atípicos e imputación de datos faltantes. Posteriormente, se implementaron y evaluaron modelos de series de tiempo —como suavización exponencial, Holt-</w:t>
      </w:r>
      <w:proofErr w:type="spellStart"/>
      <w:r w:rsidRPr="00505398">
        <w:rPr>
          <w:sz w:val="20"/>
          <w:szCs w:val="20"/>
        </w:rPr>
        <w:t>Winters</w:t>
      </w:r>
      <w:proofErr w:type="spellEnd"/>
      <w:r w:rsidRPr="00505398">
        <w:rPr>
          <w:sz w:val="20"/>
          <w:szCs w:val="20"/>
        </w:rPr>
        <w:t xml:space="preserve"> y ARIMA— seleccionando el modelo con mejor desempeño para generar pronósticos de 12 periodos futuros, con el fin de estimar el crecimiento proyectado de la capacidad instalada de energías renovables en Colombia.</w:t>
      </w:r>
    </w:p>
    <w:p w14:paraId="60FEF91B" w14:textId="047AD396" w:rsidR="00235BBB" w:rsidRPr="00505398" w:rsidRDefault="00235BBB" w:rsidP="00F347DA">
      <w:pPr>
        <w:pStyle w:val="Prrafodelista"/>
        <w:numPr>
          <w:ilvl w:val="0"/>
          <w:numId w:val="10"/>
        </w:num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Transferencia y despliegue</w:t>
      </w:r>
    </w:p>
    <w:p w14:paraId="61246AD0" w14:textId="77777777" w:rsidR="001C0399" w:rsidRPr="00505398" w:rsidRDefault="001C0399" w:rsidP="00F347DA">
      <w:pPr>
        <w:pBdr>
          <w:top w:val="nil"/>
          <w:left w:val="nil"/>
          <w:bottom w:val="nil"/>
          <w:right w:val="nil"/>
          <w:between w:val="nil"/>
        </w:pBdr>
        <w:spacing w:line="252" w:lineRule="auto"/>
        <w:ind w:left="360"/>
        <w:jc w:val="both"/>
        <w:rPr>
          <w:rFonts w:ascii="Times New Roman" w:eastAsia="Arial" w:hAnsi="Times New Roman" w:cs="Times New Roman"/>
          <w:sz w:val="20"/>
          <w:szCs w:val="20"/>
        </w:rPr>
      </w:pPr>
      <w:r w:rsidRPr="00505398">
        <w:rPr>
          <w:rFonts w:ascii="Times New Roman" w:eastAsia="Arial" w:hAnsi="Times New Roman" w:cs="Times New Roman"/>
          <w:sz w:val="20"/>
          <w:szCs w:val="20"/>
        </w:rPr>
        <w:t>Aunque esta fase contempla procesos de transferencia de conocimiento, definición de estrategias de despliegue y validación en ambientes de calidad, en este proyecto se abordó únicamente de manera teórica debido a su carácter académico. No se realizó una implementación operativa dado que no existe un entorno productivo para ejecutar el modelo, limitándose la fase a la documentación conceptual del proceso.</w:t>
      </w:r>
    </w:p>
    <w:p w14:paraId="66CED139" w14:textId="0B3A23E5" w:rsidR="001C0399" w:rsidRPr="00505398" w:rsidRDefault="001C0399"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 xml:space="preserve">4.2 </w:t>
      </w:r>
      <w:r w:rsidRPr="00505398">
        <w:rPr>
          <w:rFonts w:ascii="Times New Roman" w:eastAsia="Arial" w:hAnsi="Times New Roman" w:cs="Times New Roman"/>
          <w:b/>
          <w:bCs/>
          <w:sz w:val="20"/>
          <w:szCs w:val="20"/>
        </w:rPr>
        <w:t>Fuentes de datos</w:t>
      </w:r>
    </w:p>
    <w:p w14:paraId="60599251" w14:textId="77777777" w:rsidR="00E4234E" w:rsidRPr="00505398" w:rsidRDefault="00E4234E" w:rsidP="00F347DA">
      <w:pPr>
        <w:pBdr>
          <w:top w:val="nil"/>
          <w:left w:val="nil"/>
          <w:bottom w:val="nil"/>
          <w:right w:val="nil"/>
          <w:between w:val="nil"/>
        </w:pBdr>
        <w:spacing w:line="252" w:lineRule="auto"/>
        <w:jc w:val="both"/>
        <w:rPr>
          <w:rFonts w:ascii="Times New Roman" w:eastAsia="Arial" w:hAnsi="Times New Roman" w:cs="Times New Roman"/>
          <w:sz w:val="20"/>
          <w:szCs w:val="20"/>
        </w:rPr>
      </w:pPr>
      <w:r w:rsidRPr="00E4234E">
        <w:rPr>
          <w:rFonts w:ascii="Times New Roman" w:eastAsia="Arial" w:hAnsi="Times New Roman" w:cs="Times New Roman"/>
          <w:sz w:val="20"/>
          <w:szCs w:val="20"/>
        </w:rPr>
        <w:t xml:space="preserve">El proyecto se desarrolló utilizando una base de datos proveniente de la plataforma oficial de la Unidad de Planeación </w:t>
      </w:r>
      <w:proofErr w:type="gramStart"/>
      <w:r w:rsidRPr="00E4234E">
        <w:rPr>
          <w:rFonts w:ascii="Times New Roman" w:eastAsia="Arial" w:hAnsi="Times New Roman" w:cs="Times New Roman"/>
          <w:sz w:val="20"/>
          <w:szCs w:val="20"/>
        </w:rPr>
        <w:t>Minero Energética</w:t>
      </w:r>
      <w:proofErr w:type="gramEnd"/>
      <w:r w:rsidRPr="00E4234E">
        <w:rPr>
          <w:rFonts w:ascii="Times New Roman" w:eastAsia="Arial" w:hAnsi="Times New Roman" w:cs="Times New Roman"/>
          <w:sz w:val="20"/>
          <w:szCs w:val="20"/>
        </w:rPr>
        <w:t xml:space="preserve"> (UPME), entidad gubernamental encargada de consolidar y publicar información relacionada con el sector energético en Colombia. Los datos corresponden a registros históricos de capacidad instalada en energías renovables, incluyendo tecnologías como solar fotovoltaica, eólica y pequeñas centrales hidroeléctricas (PCH). La serie temporal abarca información disponible hasta septiembre de 2025, lo cual garantiza la actualidad de los insumos utilizados para el análisis. Esta base de datos fue seleccionada debido a su carácter oficial, su continuidad temporal y su pertinencia para el estudio de la transición energética nacional. Antes de su uso en los modelos, los datos fueron sometidos a procesos de verificación, limpieza, detección y corrección de inconsistencias, con el fin de asegurar su calidad y confiabilidad para las etapas posteriores de modelado y pronóstico.</w:t>
      </w:r>
    </w:p>
    <w:p w14:paraId="4EDF6E70" w14:textId="128F614B" w:rsidR="008D36C9" w:rsidRDefault="008D36C9" w:rsidP="00F347DA">
      <w:pPr>
        <w:pStyle w:val="Prrafodelista"/>
        <w:numPr>
          <w:ilvl w:val="1"/>
          <w:numId w:val="13"/>
        </w:num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Técnicas analíticas y modelos</w:t>
      </w:r>
      <w:r w:rsidR="00735353">
        <w:rPr>
          <w:rFonts w:ascii="Times New Roman" w:eastAsia="Arial" w:hAnsi="Times New Roman" w:cs="Times New Roman"/>
          <w:b/>
          <w:bCs/>
          <w:sz w:val="20"/>
          <w:szCs w:val="20"/>
        </w:rPr>
        <w:t xml:space="preserve"> </w:t>
      </w:r>
    </w:p>
    <w:p w14:paraId="33D5AB51" w14:textId="1CCB51B8" w:rsidR="00735353" w:rsidRPr="00735353" w:rsidRDefault="00735353" w:rsidP="00735353">
      <w:pPr>
        <w:pBdr>
          <w:top w:val="nil"/>
          <w:left w:val="nil"/>
          <w:bottom w:val="nil"/>
          <w:right w:val="nil"/>
          <w:between w:val="nil"/>
        </w:pBdr>
        <w:spacing w:line="252" w:lineRule="auto"/>
        <w:jc w:val="both"/>
        <w:rPr>
          <w:rFonts w:ascii="Times New Roman" w:eastAsia="Arial" w:hAnsi="Times New Roman" w:cs="Times New Roman"/>
          <w:sz w:val="20"/>
          <w:szCs w:val="20"/>
        </w:rPr>
      </w:pPr>
      <w:r w:rsidRPr="00735353">
        <w:rPr>
          <w:rFonts w:ascii="Times New Roman" w:eastAsia="Arial" w:hAnsi="Times New Roman" w:cs="Times New Roman"/>
          <w:sz w:val="20"/>
          <w:szCs w:val="20"/>
        </w:rPr>
        <w:t>Para el desarrollo del proyecto se aplicaron técnicas de análisis y modelación de series de tiempo con el fin de predecir la capacidad instalada de energías renovables en Colombia. El proceso inició con un análisis descriptivo de la serie histórica, seguido de la implementación de modelos de referencia como promedios móviles, suavización exponencial, Holt-</w:t>
      </w:r>
      <w:proofErr w:type="spellStart"/>
      <w:r w:rsidRPr="00735353">
        <w:rPr>
          <w:rFonts w:ascii="Times New Roman" w:eastAsia="Arial" w:hAnsi="Times New Roman" w:cs="Times New Roman"/>
          <w:sz w:val="20"/>
          <w:szCs w:val="20"/>
        </w:rPr>
        <w:t>Winters</w:t>
      </w:r>
      <w:proofErr w:type="spellEnd"/>
      <w:r w:rsidRPr="00735353">
        <w:rPr>
          <w:rFonts w:ascii="Times New Roman" w:eastAsia="Arial" w:hAnsi="Times New Roman" w:cs="Times New Roman"/>
          <w:sz w:val="20"/>
          <w:szCs w:val="20"/>
        </w:rPr>
        <w:t xml:space="preserve">, ARIMA y </w:t>
      </w:r>
      <w:proofErr w:type="spellStart"/>
      <w:r w:rsidRPr="00735353">
        <w:rPr>
          <w:rFonts w:ascii="Times New Roman" w:eastAsia="Arial" w:hAnsi="Times New Roman" w:cs="Times New Roman"/>
          <w:sz w:val="20"/>
          <w:szCs w:val="20"/>
        </w:rPr>
        <w:t>Prophet</w:t>
      </w:r>
      <w:proofErr w:type="spellEnd"/>
      <w:r w:rsidRPr="00735353">
        <w:rPr>
          <w:rFonts w:ascii="Times New Roman" w:eastAsia="Arial" w:hAnsi="Times New Roman" w:cs="Times New Roman"/>
          <w:sz w:val="20"/>
          <w:szCs w:val="20"/>
        </w:rPr>
        <w:t xml:space="preserve">. Los modelos con mejor desempeño fueron optimizados mediante optimización bayesiana, ajustando sus principales </w:t>
      </w:r>
      <w:proofErr w:type="spellStart"/>
      <w:r w:rsidRPr="00735353">
        <w:rPr>
          <w:rFonts w:ascii="Times New Roman" w:eastAsia="Arial" w:hAnsi="Times New Roman" w:cs="Times New Roman"/>
          <w:sz w:val="20"/>
          <w:szCs w:val="20"/>
        </w:rPr>
        <w:t>hiperparámetros</w:t>
      </w:r>
      <w:proofErr w:type="spellEnd"/>
      <w:r w:rsidRPr="00735353">
        <w:rPr>
          <w:rFonts w:ascii="Times New Roman" w:eastAsia="Arial" w:hAnsi="Times New Roman" w:cs="Times New Roman"/>
          <w:sz w:val="20"/>
          <w:szCs w:val="20"/>
        </w:rPr>
        <w:t>. La evaluación se realizó mediante validación con ventana móvil y ventana recursiva, permitiendo medir la estabilidad y precisión del pronóstico bajo distintos escenarios temporales. Las métricas de error, especialmente el RMSE, evidenciaron que Holt-</w:t>
      </w:r>
      <w:proofErr w:type="spellStart"/>
      <w:r w:rsidRPr="00735353">
        <w:rPr>
          <w:rFonts w:ascii="Times New Roman" w:eastAsia="Arial" w:hAnsi="Times New Roman" w:cs="Times New Roman"/>
          <w:sz w:val="20"/>
          <w:szCs w:val="20"/>
        </w:rPr>
        <w:t>Winters</w:t>
      </w:r>
      <w:proofErr w:type="spellEnd"/>
      <w:r w:rsidRPr="00735353">
        <w:rPr>
          <w:rFonts w:ascii="Times New Roman" w:eastAsia="Arial" w:hAnsi="Times New Roman" w:cs="Times New Roman"/>
          <w:sz w:val="20"/>
          <w:szCs w:val="20"/>
        </w:rPr>
        <w:t xml:space="preserve"> obtuvo el desempeño más robusto y preciso. Este enfoque metodológico integral aseguró la confiabilidad de los pronósticos generados.</w:t>
      </w:r>
    </w:p>
    <w:p w14:paraId="5C7DC52F" w14:textId="5D97460E" w:rsidR="00AB0696" w:rsidRPr="00505398" w:rsidRDefault="00AB0696" w:rsidP="00F347DA">
      <w:pPr>
        <w:pStyle w:val="Prrafodelista"/>
        <w:numPr>
          <w:ilvl w:val="0"/>
          <w:numId w:val="9"/>
        </w:numPr>
        <w:pBdr>
          <w:top w:val="nil"/>
          <w:left w:val="nil"/>
          <w:bottom w:val="nil"/>
          <w:right w:val="nil"/>
          <w:between w:val="nil"/>
        </w:pBdr>
        <w:spacing w:line="252" w:lineRule="auto"/>
        <w:jc w:val="center"/>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lastRenderedPageBreak/>
        <w:t>RESULTADOS Y DISCUSIÓN</w:t>
      </w:r>
    </w:p>
    <w:p w14:paraId="618AFD0A" w14:textId="3BE6A90A" w:rsidR="00F946EE" w:rsidRPr="00505398" w:rsidRDefault="00F946EE"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3.1. Resultados del análisis exploratorio</w:t>
      </w:r>
    </w:p>
    <w:p w14:paraId="6A676EED" w14:textId="4C920BD7" w:rsidR="00F946EE" w:rsidRPr="00505398" w:rsidRDefault="00F946EE" w:rsidP="00F347DA">
      <w:pPr>
        <w:pBdr>
          <w:top w:val="nil"/>
          <w:left w:val="nil"/>
          <w:bottom w:val="nil"/>
          <w:right w:val="nil"/>
          <w:between w:val="nil"/>
        </w:pBdr>
        <w:spacing w:line="252" w:lineRule="auto"/>
        <w:jc w:val="both"/>
        <w:rPr>
          <w:rFonts w:ascii="Times New Roman" w:hAnsi="Times New Roman" w:cs="Times New Roman"/>
          <w:noProof/>
          <w:sz w:val="20"/>
          <w:szCs w:val="20"/>
        </w:rPr>
      </w:pPr>
      <w:r w:rsidRPr="00505398">
        <w:rPr>
          <w:rFonts w:ascii="Times New Roman" w:eastAsia="Arial" w:hAnsi="Times New Roman" w:cs="Times New Roman"/>
          <w:b/>
          <w:bCs/>
          <w:sz w:val="20"/>
          <w:szCs w:val="20"/>
        </w:rPr>
        <w:drawing>
          <wp:inline distT="0" distB="0" distL="0" distR="0" wp14:anchorId="17B526C1" wp14:editId="4A87FD27">
            <wp:extent cx="1851434" cy="975575"/>
            <wp:effectExtent l="0" t="0" r="0" b="0"/>
            <wp:docPr id="138106315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63151" name="Imagen 1" descr="Gráfico, Gráfico de líneas&#10;&#10;El contenido generado por IA puede ser incorrecto."/>
                    <pic:cNvPicPr/>
                  </pic:nvPicPr>
                  <pic:blipFill>
                    <a:blip r:embed="rId5"/>
                    <a:stretch>
                      <a:fillRect/>
                    </a:stretch>
                  </pic:blipFill>
                  <pic:spPr>
                    <a:xfrm>
                      <a:off x="0" y="0"/>
                      <a:ext cx="1883123" cy="992273"/>
                    </a:xfrm>
                    <a:prstGeom prst="rect">
                      <a:avLst/>
                    </a:prstGeom>
                  </pic:spPr>
                </pic:pic>
              </a:graphicData>
            </a:graphic>
          </wp:inline>
        </w:drawing>
      </w:r>
      <w:r w:rsidR="00DF5281" w:rsidRPr="00505398">
        <w:rPr>
          <w:rFonts w:ascii="Times New Roman" w:hAnsi="Times New Roman" w:cs="Times New Roman"/>
          <w:noProof/>
          <w:sz w:val="20"/>
          <w:szCs w:val="20"/>
        </w:rPr>
        <w:t xml:space="preserve"> </w:t>
      </w:r>
      <w:r w:rsidR="00DF5281" w:rsidRPr="00505398">
        <w:rPr>
          <w:rFonts w:ascii="Times New Roman" w:eastAsia="Arial" w:hAnsi="Times New Roman" w:cs="Times New Roman"/>
          <w:b/>
          <w:bCs/>
          <w:sz w:val="20"/>
          <w:szCs w:val="20"/>
        </w:rPr>
        <w:drawing>
          <wp:inline distT="0" distB="0" distL="0" distR="0" wp14:anchorId="472EEA4F" wp14:editId="05C5CA40">
            <wp:extent cx="1805594" cy="968785"/>
            <wp:effectExtent l="0" t="0" r="4445" b="3175"/>
            <wp:docPr id="177316941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69410" name="Imagen 1" descr="Gráfico&#10;&#10;El contenido generado por IA puede ser incorrecto."/>
                    <pic:cNvPicPr/>
                  </pic:nvPicPr>
                  <pic:blipFill>
                    <a:blip r:embed="rId6"/>
                    <a:stretch>
                      <a:fillRect/>
                    </a:stretch>
                  </pic:blipFill>
                  <pic:spPr>
                    <a:xfrm>
                      <a:off x="0" y="0"/>
                      <a:ext cx="1837144" cy="985713"/>
                    </a:xfrm>
                    <a:prstGeom prst="rect">
                      <a:avLst/>
                    </a:prstGeom>
                  </pic:spPr>
                </pic:pic>
              </a:graphicData>
            </a:graphic>
          </wp:inline>
        </w:drawing>
      </w:r>
      <w:r w:rsidR="00DF5281" w:rsidRPr="00505398">
        <w:rPr>
          <w:rFonts w:ascii="Times New Roman" w:hAnsi="Times New Roman" w:cs="Times New Roman"/>
          <w:noProof/>
          <w:sz w:val="20"/>
          <w:szCs w:val="20"/>
        </w:rPr>
        <w:t xml:space="preserve"> </w:t>
      </w:r>
      <w:r w:rsidR="00DF5281" w:rsidRPr="00505398">
        <w:rPr>
          <w:rFonts w:ascii="Times New Roman" w:hAnsi="Times New Roman" w:cs="Times New Roman"/>
          <w:noProof/>
          <w:sz w:val="20"/>
          <w:szCs w:val="20"/>
        </w:rPr>
        <w:drawing>
          <wp:inline distT="0" distB="0" distL="0" distR="0" wp14:anchorId="4ADCAD35" wp14:editId="0023E7AB">
            <wp:extent cx="1813843" cy="959667"/>
            <wp:effectExtent l="0" t="0" r="0" b="0"/>
            <wp:docPr id="174068403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84033" name="Imagen 1" descr="Gráfico&#10;&#10;El contenido generado por IA puede ser incorrecto."/>
                    <pic:cNvPicPr/>
                  </pic:nvPicPr>
                  <pic:blipFill>
                    <a:blip r:embed="rId7"/>
                    <a:stretch>
                      <a:fillRect/>
                    </a:stretch>
                  </pic:blipFill>
                  <pic:spPr>
                    <a:xfrm>
                      <a:off x="0" y="0"/>
                      <a:ext cx="1864267" cy="986345"/>
                    </a:xfrm>
                    <a:prstGeom prst="rect">
                      <a:avLst/>
                    </a:prstGeom>
                  </pic:spPr>
                </pic:pic>
              </a:graphicData>
            </a:graphic>
          </wp:inline>
        </w:drawing>
      </w:r>
    </w:p>
    <w:p w14:paraId="0566305A" w14:textId="7003BB1A" w:rsidR="00DF5281" w:rsidRPr="00505398" w:rsidRDefault="00DF5281"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sz w:val="20"/>
          <w:szCs w:val="20"/>
        </w:rPr>
        <w:t xml:space="preserve">El análisis exploratorio evidencia un comportamiento contrastante entre las tecnologías estudiadas. La serie de </w:t>
      </w:r>
      <w:r w:rsidRPr="00505398">
        <w:rPr>
          <w:rFonts w:ascii="Times New Roman" w:eastAsia="Arial" w:hAnsi="Times New Roman" w:cs="Times New Roman"/>
          <w:b/>
          <w:bCs/>
          <w:sz w:val="20"/>
          <w:szCs w:val="20"/>
        </w:rPr>
        <w:t>energía solar</w:t>
      </w:r>
      <w:r w:rsidRPr="00505398">
        <w:rPr>
          <w:rFonts w:ascii="Times New Roman" w:eastAsia="Arial" w:hAnsi="Times New Roman" w:cs="Times New Roman"/>
          <w:sz w:val="20"/>
          <w:szCs w:val="20"/>
        </w:rPr>
        <w:t xml:space="preserve"> muestra un crecimiento exponencial continuo desde 2019 hasta 2025, alcanzando más de 3.000 MW y consolidándose como la fuente de mayor expansión. Las series de </w:t>
      </w:r>
      <w:r w:rsidRPr="00505398">
        <w:rPr>
          <w:rFonts w:ascii="Times New Roman" w:eastAsia="Arial" w:hAnsi="Times New Roman" w:cs="Times New Roman"/>
          <w:b/>
          <w:bCs/>
          <w:sz w:val="20"/>
          <w:szCs w:val="20"/>
        </w:rPr>
        <w:t>energía eólica</w:t>
      </w:r>
      <w:r w:rsidRPr="00505398">
        <w:rPr>
          <w:rFonts w:ascii="Times New Roman" w:eastAsia="Arial" w:hAnsi="Times New Roman" w:cs="Times New Roman"/>
          <w:sz w:val="20"/>
          <w:szCs w:val="20"/>
        </w:rPr>
        <w:t xml:space="preserve"> y </w:t>
      </w:r>
      <w:r w:rsidRPr="00505398">
        <w:rPr>
          <w:rFonts w:ascii="Times New Roman" w:eastAsia="Arial" w:hAnsi="Times New Roman" w:cs="Times New Roman"/>
          <w:b/>
          <w:bCs/>
          <w:sz w:val="20"/>
          <w:szCs w:val="20"/>
        </w:rPr>
        <w:t>PCH</w:t>
      </w:r>
      <w:r w:rsidRPr="00505398">
        <w:rPr>
          <w:rFonts w:ascii="Times New Roman" w:eastAsia="Arial" w:hAnsi="Times New Roman" w:cs="Times New Roman"/>
          <w:sz w:val="20"/>
          <w:szCs w:val="20"/>
        </w:rPr>
        <w:t>, por su parte, presentan incrementos escalonados y de menor magnitud, reflejando la entrada progresiva de proyectos puntuales y un crecimiento más moderado en comparación con la energía solar. En conjunto, las tres series confirman una tendencia positiva en la capacidad instalada de FNCER, con un liderazgo evidente del despliegue fotovoltaico.</w:t>
      </w:r>
    </w:p>
    <w:p w14:paraId="5AA9141A" w14:textId="25903AE4" w:rsidR="00F946EE" w:rsidRPr="00505398" w:rsidRDefault="00F946EE"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3.2. Desempeño de los modelos</w:t>
      </w:r>
    </w:p>
    <w:p w14:paraId="1A521BB2" w14:textId="77777777" w:rsidR="00DF5281" w:rsidRPr="00505398" w:rsidRDefault="00DF5281"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p>
    <w:p w14:paraId="3D8D8F2F" w14:textId="77777777" w:rsidR="00DF5281" w:rsidRPr="00505398" w:rsidRDefault="00DF5281"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p>
    <w:p w14:paraId="67B62C98" w14:textId="33618323" w:rsidR="00F946EE" w:rsidRPr="00505398" w:rsidRDefault="00F946EE"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3.3. Pronóstico</w:t>
      </w:r>
    </w:p>
    <w:p w14:paraId="5B14ED61" w14:textId="25A6D7E9" w:rsidR="00F946EE" w:rsidRPr="00505398" w:rsidRDefault="00F946EE"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3.4. Discusión</w:t>
      </w:r>
    </w:p>
    <w:p w14:paraId="56FECFA1" w14:textId="07AAACC1" w:rsidR="00DC0ED5" w:rsidRPr="00505398" w:rsidRDefault="00DC0ED5"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p>
    <w:p w14:paraId="51E108B0" w14:textId="77777777" w:rsidR="00DC0ED5" w:rsidRPr="00505398" w:rsidRDefault="00DC0ED5"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p>
    <w:p w14:paraId="30B9927B" w14:textId="77777777" w:rsidR="00DC0ED5" w:rsidRPr="00505398" w:rsidRDefault="00DC0ED5"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p>
    <w:p w14:paraId="523A8379" w14:textId="66D55EA2" w:rsidR="00261E58" w:rsidRPr="00505398" w:rsidRDefault="005E0154" w:rsidP="00F347DA">
      <w:pPr>
        <w:pStyle w:val="Prrafodelista"/>
        <w:numPr>
          <w:ilvl w:val="0"/>
          <w:numId w:val="9"/>
        </w:numPr>
        <w:pBdr>
          <w:top w:val="nil"/>
          <w:left w:val="nil"/>
          <w:bottom w:val="nil"/>
          <w:right w:val="nil"/>
          <w:between w:val="nil"/>
        </w:pBdr>
        <w:spacing w:line="252" w:lineRule="auto"/>
        <w:jc w:val="center"/>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CONCLUSIONES</w:t>
      </w:r>
    </w:p>
    <w:p w14:paraId="0C3BA651" w14:textId="77777777" w:rsidR="00DF5281" w:rsidRPr="00505398" w:rsidRDefault="00DF5281" w:rsidP="00F347DA">
      <w:pPr>
        <w:pBdr>
          <w:top w:val="nil"/>
          <w:left w:val="nil"/>
          <w:bottom w:val="nil"/>
          <w:right w:val="nil"/>
          <w:between w:val="nil"/>
        </w:pBdr>
        <w:spacing w:line="252" w:lineRule="auto"/>
        <w:jc w:val="both"/>
        <w:rPr>
          <w:rFonts w:ascii="Times New Roman" w:eastAsia="Arial" w:hAnsi="Times New Roman" w:cs="Times New Roman"/>
          <w:b/>
          <w:bCs/>
          <w:sz w:val="20"/>
          <w:szCs w:val="20"/>
        </w:rPr>
      </w:pPr>
    </w:p>
    <w:p w14:paraId="11B1E71E" w14:textId="52B5ADC7" w:rsidR="00261E58" w:rsidRPr="00505398" w:rsidRDefault="00261E58" w:rsidP="00F347DA">
      <w:pPr>
        <w:pStyle w:val="Prrafodelista"/>
        <w:numPr>
          <w:ilvl w:val="0"/>
          <w:numId w:val="9"/>
        </w:numPr>
        <w:pBdr>
          <w:top w:val="nil"/>
          <w:left w:val="nil"/>
          <w:bottom w:val="nil"/>
          <w:right w:val="nil"/>
          <w:between w:val="nil"/>
        </w:pBdr>
        <w:spacing w:line="252" w:lineRule="auto"/>
        <w:jc w:val="center"/>
        <w:rPr>
          <w:rFonts w:ascii="Times New Roman" w:eastAsia="Arial" w:hAnsi="Times New Roman" w:cs="Times New Roman"/>
          <w:b/>
          <w:bCs/>
          <w:sz w:val="20"/>
          <w:szCs w:val="20"/>
        </w:rPr>
      </w:pPr>
      <w:r w:rsidRPr="00505398">
        <w:rPr>
          <w:rFonts w:ascii="Times New Roman" w:eastAsia="Arial" w:hAnsi="Times New Roman" w:cs="Times New Roman"/>
          <w:b/>
          <w:bCs/>
          <w:sz w:val="20"/>
          <w:szCs w:val="20"/>
        </w:rPr>
        <w:t>REFERENCIAS</w:t>
      </w:r>
    </w:p>
    <w:p w14:paraId="050CE62A" w14:textId="7BAFD868" w:rsidR="00DB4A36" w:rsidRPr="00C22DF9" w:rsidRDefault="00505398" w:rsidP="00C22DF9">
      <w:pPr>
        <w:pStyle w:val="Sinespaciado"/>
        <w:jc w:val="both"/>
        <w:rPr>
          <w:rFonts w:ascii="Times New Roman" w:hAnsi="Times New Roman" w:cs="Times New Roman"/>
          <w:sz w:val="18"/>
          <w:szCs w:val="18"/>
        </w:rPr>
      </w:pPr>
      <w:r w:rsidRPr="00C22DF9">
        <w:rPr>
          <w:rFonts w:ascii="Times New Roman" w:hAnsi="Times New Roman" w:cs="Times New Roman"/>
          <w:sz w:val="18"/>
          <w:szCs w:val="18"/>
        </w:rPr>
        <w:t xml:space="preserve">[1] International Energy Agency, </w:t>
      </w:r>
      <w:proofErr w:type="spellStart"/>
      <w:r w:rsidRPr="00C22DF9">
        <w:rPr>
          <w:rFonts w:ascii="Times New Roman" w:hAnsi="Times New Roman" w:cs="Times New Roman"/>
          <w:i/>
          <w:iCs/>
          <w:sz w:val="18"/>
          <w:szCs w:val="18"/>
        </w:rPr>
        <w:t>World</w:t>
      </w:r>
      <w:proofErr w:type="spellEnd"/>
      <w:r w:rsidRPr="00C22DF9">
        <w:rPr>
          <w:rFonts w:ascii="Times New Roman" w:hAnsi="Times New Roman" w:cs="Times New Roman"/>
          <w:i/>
          <w:iCs/>
          <w:sz w:val="18"/>
          <w:szCs w:val="18"/>
        </w:rPr>
        <w:t xml:space="preserve"> Energy Outlook 2023</w:t>
      </w:r>
      <w:r w:rsidRPr="00C22DF9">
        <w:rPr>
          <w:rFonts w:ascii="Times New Roman" w:hAnsi="Times New Roman" w:cs="Times New Roman"/>
          <w:sz w:val="18"/>
          <w:szCs w:val="18"/>
        </w:rPr>
        <w:t>. Paris: IEA, 2023.</w:t>
      </w:r>
      <w:r w:rsidRPr="00C22DF9">
        <w:rPr>
          <w:rFonts w:ascii="Times New Roman" w:hAnsi="Times New Roman" w:cs="Times New Roman"/>
          <w:sz w:val="18"/>
          <w:szCs w:val="18"/>
        </w:rPr>
        <w:br/>
        <w:t xml:space="preserve">[2] International Energy Agency, </w:t>
      </w:r>
      <w:r w:rsidRPr="00C22DF9">
        <w:rPr>
          <w:rFonts w:ascii="Times New Roman" w:hAnsi="Times New Roman" w:cs="Times New Roman"/>
          <w:i/>
          <w:iCs/>
          <w:sz w:val="18"/>
          <w:szCs w:val="18"/>
        </w:rPr>
        <w:t xml:space="preserve">Energy Security: </w:t>
      </w:r>
      <w:proofErr w:type="spellStart"/>
      <w:r w:rsidRPr="00C22DF9">
        <w:rPr>
          <w:rFonts w:ascii="Times New Roman" w:hAnsi="Times New Roman" w:cs="Times New Roman"/>
          <w:i/>
          <w:iCs/>
          <w:sz w:val="18"/>
          <w:szCs w:val="18"/>
        </w:rPr>
        <w:t>Ensuring</w:t>
      </w:r>
      <w:proofErr w:type="spellEnd"/>
      <w:r w:rsidRPr="00C22DF9">
        <w:rPr>
          <w:rFonts w:ascii="Times New Roman" w:hAnsi="Times New Roman" w:cs="Times New Roman"/>
          <w:i/>
          <w:iCs/>
          <w:sz w:val="18"/>
          <w:szCs w:val="18"/>
        </w:rPr>
        <w:t xml:space="preserve"> </w:t>
      </w:r>
      <w:proofErr w:type="spellStart"/>
      <w:r w:rsidRPr="00C22DF9">
        <w:rPr>
          <w:rFonts w:ascii="Times New Roman" w:hAnsi="Times New Roman" w:cs="Times New Roman"/>
          <w:i/>
          <w:iCs/>
          <w:sz w:val="18"/>
          <w:szCs w:val="18"/>
        </w:rPr>
        <w:t>Reliable</w:t>
      </w:r>
      <w:proofErr w:type="spellEnd"/>
      <w:r w:rsidRPr="00C22DF9">
        <w:rPr>
          <w:rFonts w:ascii="Times New Roman" w:hAnsi="Times New Roman" w:cs="Times New Roman"/>
          <w:i/>
          <w:iCs/>
          <w:sz w:val="18"/>
          <w:szCs w:val="18"/>
        </w:rPr>
        <w:t xml:space="preserve">, </w:t>
      </w:r>
      <w:proofErr w:type="spellStart"/>
      <w:r w:rsidRPr="00C22DF9">
        <w:rPr>
          <w:rFonts w:ascii="Times New Roman" w:hAnsi="Times New Roman" w:cs="Times New Roman"/>
          <w:i/>
          <w:iCs/>
          <w:sz w:val="18"/>
          <w:szCs w:val="18"/>
        </w:rPr>
        <w:t>Affordable</w:t>
      </w:r>
      <w:proofErr w:type="spellEnd"/>
      <w:r w:rsidRPr="00C22DF9">
        <w:rPr>
          <w:rFonts w:ascii="Times New Roman" w:hAnsi="Times New Roman" w:cs="Times New Roman"/>
          <w:i/>
          <w:iCs/>
          <w:sz w:val="18"/>
          <w:szCs w:val="18"/>
        </w:rPr>
        <w:t xml:space="preserve"> and </w:t>
      </w:r>
      <w:proofErr w:type="spellStart"/>
      <w:r w:rsidRPr="00C22DF9">
        <w:rPr>
          <w:rFonts w:ascii="Times New Roman" w:hAnsi="Times New Roman" w:cs="Times New Roman"/>
          <w:i/>
          <w:iCs/>
          <w:sz w:val="18"/>
          <w:szCs w:val="18"/>
        </w:rPr>
        <w:t>Sustainable</w:t>
      </w:r>
      <w:proofErr w:type="spellEnd"/>
      <w:r w:rsidRPr="00C22DF9">
        <w:rPr>
          <w:rFonts w:ascii="Times New Roman" w:hAnsi="Times New Roman" w:cs="Times New Roman"/>
          <w:i/>
          <w:iCs/>
          <w:sz w:val="18"/>
          <w:szCs w:val="18"/>
        </w:rPr>
        <w:t xml:space="preserve"> Energy</w:t>
      </w:r>
      <w:r w:rsidRPr="00C22DF9">
        <w:rPr>
          <w:rFonts w:ascii="Times New Roman" w:hAnsi="Times New Roman" w:cs="Times New Roman"/>
          <w:sz w:val="18"/>
          <w:szCs w:val="18"/>
        </w:rPr>
        <w:t>, 2023.</w:t>
      </w:r>
      <w:r w:rsidRPr="00C22DF9">
        <w:rPr>
          <w:rFonts w:ascii="Times New Roman" w:hAnsi="Times New Roman" w:cs="Times New Roman"/>
          <w:sz w:val="18"/>
          <w:szCs w:val="18"/>
        </w:rPr>
        <w:br/>
        <w:t xml:space="preserve">[3] Ministerio de Minas y Energía, </w:t>
      </w:r>
      <w:r w:rsidRPr="00C22DF9">
        <w:rPr>
          <w:rFonts w:ascii="Times New Roman" w:hAnsi="Times New Roman" w:cs="Times New Roman"/>
          <w:i/>
          <w:iCs/>
          <w:sz w:val="18"/>
          <w:szCs w:val="18"/>
        </w:rPr>
        <w:t>Balance Energético Colombiano 2023</w:t>
      </w:r>
      <w:r w:rsidRPr="00C22DF9">
        <w:rPr>
          <w:rFonts w:ascii="Times New Roman" w:hAnsi="Times New Roman" w:cs="Times New Roman"/>
          <w:sz w:val="18"/>
          <w:szCs w:val="18"/>
        </w:rPr>
        <w:t>. Bogotá: MME, 2024.</w:t>
      </w:r>
      <w:r w:rsidRPr="00C22DF9">
        <w:rPr>
          <w:rFonts w:ascii="Times New Roman" w:hAnsi="Times New Roman" w:cs="Times New Roman"/>
          <w:sz w:val="18"/>
          <w:szCs w:val="18"/>
        </w:rPr>
        <w:br/>
        <w:t xml:space="preserve">[4] Unidad de Planeación </w:t>
      </w:r>
      <w:proofErr w:type="gramStart"/>
      <w:r w:rsidRPr="00C22DF9">
        <w:rPr>
          <w:rFonts w:ascii="Times New Roman" w:hAnsi="Times New Roman" w:cs="Times New Roman"/>
          <w:sz w:val="18"/>
          <w:szCs w:val="18"/>
        </w:rPr>
        <w:t>Minero Energética</w:t>
      </w:r>
      <w:proofErr w:type="gramEnd"/>
      <w:r w:rsidRPr="00C22DF9">
        <w:rPr>
          <w:rFonts w:ascii="Times New Roman" w:hAnsi="Times New Roman" w:cs="Times New Roman"/>
          <w:sz w:val="18"/>
          <w:szCs w:val="18"/>
        </w:rPr>
        <w:t xml:space="preserve"> (UPME), </w:t>
      </w:r>
      <w:r w:rsidRPr="00C22DF9">
        <w:rPr>
          <w:rFonts w:ascii="Times New Roman" w:hAnsi="Times New Roman" w:cs="Times New Roman"/>
          <w:i/>
          <w:iCs/>
          <w:sz w:val="18"/>
          <w:szCs w:val="18"/>
        </w:rPr>
        <w:t>Plan Energético Nacional 2022–2050</w:t>
      </w:r>
      <w:r w:rsidRPr="00C22DF9">
        <w:rPr>
          <w:rFonts w:ascii="Times New Roman" w:hAnsi="Times New Roman" w:cs="Times New Roman"/>
          <w:sz w:val="18"/>
          <w:szCs w:val="18"/>
        </w:rPr>
        <w:t>. Bogotá: UPME, 2022.</w:t>
      </w:r>
      <w:r w:rsidRPr="00C22DF9">
        <w:rPr>
          <w:rFonts w:ascii="Times New Roman" w:hAnsi="Times New Roman" w:cs="Times New Roman"/>
          <w:sz w:val="18"/>
          <w:szCs w:val="18"/>
        </w:rPr>
        <w:br/>
        <w:t xml:space="preserve">[5] Ministerio de Minas y Energía / UPME, </w:t>
      </w:r>
      <w:r w:rsidRPr="00C22DF9">
        <w:rPr>
          <w:rFonts w:ascii="Times New Roman" w:hAnsi="Times New Roman" w:cs="Times New Roman"/>
          <w:i/>
          <w:iCs/>
          <w:sz w:val="18"/>
          <w:szCs w:val="18"/>
        </w:rPr>
        <w:t xml:space="preserve">Plan de Expansión de Referencia Generación–Transmisión (Plan </w:t>
      </w:r>
      <w:proofErr w:type="spellStart"/>
      <w:r w:rsidRPr="00C22DF9">
        <w:rPr>
          <w:rFonts w:ascii="Times New Roman" w:hAnsi="Times New Roman" w:cs="Times New Roman"/>
          <w:i/>
          <w:iCs/>
          <w:sz w:val="18"/>
          <w:szCs w:val="18"/>
        </w:rPr>
        <w:t>Argo</w:t>
      </w:r>
      <w:proofErr w:type="spellEnd"/>
      <w:r w:rsidRPr="00C22DF9">
        <w:rPr>
          <w:rFonts w:ascii="Times New Roman" w:hAnsi="Times New Roman" w:cs="Times New Roman"/>
          <w:i/>
          <w:iCs/>
          <w:sz w:val="18"/>
          <w:szCs w:val="18"/>
        </w:rPr>
        <w:t>)</w:t>
      </w:r>
      <w:r w:rsidRPr="00C22DF9">
        <w:rPr>
          <w:rFonts w:ascii="Times New Roman" w:hAnsi="Times New Roman" w:cs="Times New Roman"/>
          <w:sz w:val="18"/>
          <w:szCs w:val="18"/>
        </w:rPr>
        <w:t>, 2022.</w:t>
      </w:r>
      <w:r w:rsidRPr="00C22DF9">
        <w:rPr>
          <w:rFonts w:ascii="Times New Roman" w:hAnsi="Times New Roman" w:cs="Times New Roman"/>
          <w:sz w:val="18"/>
          <w:szCs w:val="18"/>
        </w:rPr>
        <w:br/>
        <w:t xml:space="preserve">[6] R. J. </w:t>
      </w:r>
      <w:proofErr w:type="spellStart"/>
      <w:r w:rsidRPr="00C22DF9">
        <w:rPr>
          <w:rFonts w:ascii="Times New Roman" w:hAnsi="Times New Roman" w:cs="Times New Roman"/>
          <w:sz w:val="18"/>
          <w:szCs w:val="18"/>
        </w:rPr>
        <w:t>Hyndman</w:t>
      </w:r>
      <w:proofErr w:type="spellEnd"/>
      <w:r w:rsidRPr="00C22DF9">
        <w:rPr>
          <w:rFonts w:ascii="Times New Roman" w:hAnsi="Times New Roman" w:cs="Times New Roman"/>
          <w:sz w:val="18"/>
          <w:szCs w:val="18"/>
        </w:rPr>
        <w:t xml:space="preserve"> and G. </w:t>
      </w:r>
      <w:proofErr w:type="spellStart"/>
      <w:r w:rsidRPr="00C22DF9">
        <w:rPr>
          <w:rFonts w:ascii="Times New Roman" w:hAnsi="Times New Roman" w:cs="Times New Roman"/>
          <w:sz w:val="18"/>
          <w:szCs w:val="18"/>
        </w:rPr>
        <w:t>Athanasopoulos</w:t>
      </w:r>
      <w:proofErr w:type="spellEnd"/>
      <w:r w:rsidRPr="00C22DF9">
        <w:rPr>
          <w:rFonts w:ascii="Times New Roman" w:hAnsi="Times New Roman" w:cs="Times New Roman"/>
          <w:sz w:val="18"/>
          <w:szCs w:val="18"/>
        </w:rPr>
        <w:t xml:space="preserve">, </w:t>
      </w:r>
      <w:proofErr w:type="spellStart"/>
      <w:r w:rsidRPr="00C22DF9">
        <w:rPr>
          <w:rFonts w:ascii="Times New Roman" w:hAnsi="Times New Roman" w:cs="Times New Roman"/>
          <w:i/>
          <w:iCs/>
          <w:sz w:val="18"/>
          <w:szCs w:val="18"/>
        </w:rPr>
        <w:t>Forecasting</w:t>
      </w:r>
      <w:proofErr w:type="spellEnd"/>
      <w:r w:rsidRPr="00C22DF9">
        <w:rPr>
          <w:rFonts w:ascii="Times New Roman" w:hAnsi="Times New Roman" w:cs="Times New Roman"/>
          <w:i/>
          <w:iCs/>
          <w:sz w:val="18"/>
          <w:szCs w:val="18"/>
        </w:rPr>
        <w:t xml:space="preserve">: </w:t>
      </w:r>
      <w:proofErr w:type="spellStart"/>
      <w:r w:rsidRPr="00C22DF9">
        <w:rPr>
          <w:rFonts w:ascii="Times New Roman" w:hAnsi="Times New Roman" w:cs="Times New Roman"/>
          <w:i/>
          <w:iCs/>
          <w:sz w:val="18"/>
          <w:szCs w:val="18"/>
        </w:rPr>
        <w:t>Principles</w:t>
      </w:r>
      <w:proofErr w:type="spellEnd"/>
      <w:r w:rsidRPr="00C22DF9">
        <w:rPr>
          <w:rFonts w:ascii="Times New Roman" w:hAnsi="Times New Roman" w:cs="Times New Roman"/>
          <w:i/>
          <w:iCs/>
          <w:sz w:val="18"/>
          <w:szCs w:val="18"/>
        </w:rPr>
        <w:t xml:space="preserve"> and </w:t>
      </w:r>
      <w:proofErr w:type="spellStart"/>
      <w:r w:rsidRPr="00C22DF9">
        <w:rPr>
          <w:rFonts w:ascii="Times New Roman" w:hAnsi="Times New Roman" w:cs="Times New Roman"/>
          <w:i/>
          <w:iCs/>
          <w:sz w:val="18"/>
          <w:szCs w:val="18"/>
        </w:rPr>
        <w:t>Practice</w:t>
      </w:r>
      <w:proofErr w:type="spellEnd"/>
      <w:r w:rsidRPr="00C22DF9">
        <w:rPr>
          <w:rFonts w:ascii="Times New Roman" w:hAnsi="Times New Roman" w:cs="Times New Roman"/>
          <w:sz w:val="18"/>
          <w:szCs w:val="18"/>
        </w:rPr>
        <w:t xml:space="preserve">, 3rd ed., </w:t>
      </w:r>
      <w:proofErr w:type="spellStart"/>
      <w:r w:rsidRPr="00C22DF9">
        <w:rPr>
          <w:rFonts w:ascii="Times New Roman" w:hAnsi="Times New Roman" w:cs="Times New Roman"/>
          <w:sz w:val="18"/>
          <w:szCs w:val="18"/>
        </w:rPr>
        <w:t>OTexts</w:t>
      </w:r>
      <w:proofErr w:type="spellEnd"/>
      <w:r w:rsidRPr="00C22DF9">
        <w:rPr>
          <w:rFonts w:ascii="Times New Roman" w:hAnsi="Times New Roman" w:cs="Times New Roman"/>
          <w:sz w:val="18"/>
          <w:szCs w:val="18"/>
        </w:rPr>
        <w:t>, 2021.</w:t>
      </w:r>
      <w:r w:rsidRPr="00C22DF9">
        <w:rPr>
          <w:rFonts w:ascii="Times New Roman" w:hAnsi="Times New Roman" w:cs="Times New Roman"/>
          <w:sz w:val="18"/>
          <w:szCs w:val="18"/>
        </w:rPr>
        <w:br/>
        <w:t xml:space="preserve">[7] UPME, </w:t>
      </w:r>
      <w:r w:rsidRPr="00C22DF9">
        <w:rPr>
          <w:rFonts w:ascii="Times New Roman" w:hAnsi="Times New Roman" w:cs="Times New Roman"/>
          <w:i/>
          <w:iCs/>
          <w:sz w:val="18"/>
          <w:szCs w:val="18"/>
        </w:rPr>
        <w:t>Atlas de Radiación Solar de Colombia</w:t>
      </w:r>
      <w:r w:rsidRPr="00C22DF9">
        <w:rPr>
          <w:rFonts w:ascii="Times New Roman" w:hAnsi="Times New Roman" w:cs="Times New Roman"/>
          <w:sz w:val="18"/>
          <w:szCs w:val="18"/>
        </w:rPr>
        <w:t>. Bogotá: UPME, 2023.</w:t>
      </w:r>
      <w:r w:rsidRPr="00C22DF9">
        <w:rPr>
          <w:rFonts w:ascii="Times New Roman" w:hAnsi="Times New Roman" w:cs="Times New Roman"/>
          <w:sz w:val="18"/>
          <w:szCs w:val="18"/>
        </w:rPr>
        <w:br/>
        <w:t xml:space="preserve">[8] UPME, </w:t>
      </w:r>
      <w:r w:rsidRPr="00C22DF9">
        <w:rPr>
          <w:rFonts w:ascii="Times New Roman" w:hAnsi="Times New Roman" w:cs="Times New Roman"/>
          <w:i/>
          <w:iCs/>
          <w:sz w:val="18"/>
          <w:szCs w:val="18"/>
        </w:rPr>
        <w:t>Atlas del Potencial Eólico de Colombia</w:t>
      </w:r>
      <w:r w:rsidRPr="00C22DF9">
        <w:rPr>
          <w:rFonts w:ascii="Times New Roman" w:hAnsi="Times New Roman" w:cs="Times New Roman"/>
          <w:sz w:val="18"/>
          <w:szCs w:val="18"/>
        </w:rPr>
        <w:t>. Bogotá: UPME, 2022.</w:t>
      </w:r>
      <w:r w:rsidRPr="00C22DF9">
        <w:rPr>
          <w:rFonts w:ascii="Times New Roman" w:hAnsi="Times New Roman" w:cs="Times New Roman"/>
          <w:sz w:val="18"/>
          <w:szCs w:val="18"/>
        </w:rPr>
        <w:br/>
        <w:t xml:space="preserve">[9] Congreso de Colombia, </w:t>
      </w:r>
      <w:r w:rsidRPr="00C22DF9">
        <w:rPr>
          <w:rFonts w:ascii="Times New Roman" w:hAnsi="Times New Roman" w:cs="Times New Roman"/>
          <w:i/>
          <w:iCs/>
          <w:sz w:val="18"/>
          <w:szCs w:val="18"/>
        </w:rPr>
        <w:t>Ley 1715 de 2014</w:t>
      </w:r>
      <w:r w:rsidRPr="00C22DF9">
        <w:rPr>
          <w:rFonts w:ascii="Times New Roman" w:hAnsi="Times New Roman" w:cs="Times New Roman"/>
          <w:sz w:val="18"/>
          <w:szCs w:val="18"/>
        </w:rPr>
        <w:t>.</w:t>
      </w:r>
      <w:r w:rsidRPr="00C22DF9">
        <w:rPr>
          <w:rFonts w:ascii="Times New Roman" w:hAnsi="Times New Roman" w:cs="Times New Roman"/>
          <w:sz w:val="18"/>
          <w:szCs w:val="18"/>
        </w:rPr>
        <w:br/>
        <w:t xml:space="preserve">[10] S. J. Taylor and B. </w:t>
      </w:r>
      <w:proofErr w:type="spellStart"/>
      <w:r w:rsidRPr="00C22DF9">
        <w:rPr>
          <w:rFonts w:ascii="Times New Roman" w:hAnsi="Times New Roman" w:cs="Times New Roman"/>
          <w:sz w:val="18"/>
          <w:szCs w:val="18"/>
        </w:rPr>
        <w:t>Letham</w:t>
      </w:r>
      <w:proofErr w:type="spellEnd"/>
      <w:r w:rsidRPr="00C22DF9">
        <w:rPr>
          <w:rFonts w:ascii="Times New Roman" w:hAnsi="Times New Roman" w:cs="Times New Roman"/>
          <w:sz w:val="18"/>
          <w:szCs w:val="18"/>
        </w:rPr>
        <w:t>, “</w:t>
      </w:r>
      <w:proofErr w:type="spellStart"/>
      <w:r w:rsidRPr="00C22DF9">
        <w:rPr>
          <w:rFonts w:ascii="Times New Roman" w:hAnsi="Times New Roman" w:cs="Times New Roman"/>
          <w:sz w:val="18"/>
          <w:szCs w:val="18"/>
        </w:rPr>
        <w:t>Forecasting</w:t>
      </w:r>
      <w:proofErr w:type="spellEnd"/>
      <w:r w:rsidRPr="00C22DF9">
        <w:rPr>
          <w:rFonts w:ascii="Times New Roman" w:hAnsi="Times New Roman" w:cs="Times New Roman"/>
          <w:sz w:val="18"/>
          <w:szCs w:val="18"/>
        </w:rPr>
        <w:t xml:space="preserve"> at </w:t>
      </w:r>
      <w:proofErr w:type="spellStart"/>
      <w:r w:rsidRPr="00C22DF9">
        <w:rPr>
          <w:rFonts w:ascii="Times New Roman" w:hAnsi="Times New Roman" w:cs="Times New Roman"/>
          <w:sz w:val="18"/>
          <w:szCs w:val="18"/>
        </w:rPr>
        <w:t>scale</w:t>
      </w:r>
      <w:proofErr w:type="spellEnd"/>
      <w:r w:rsidRPr="00C22DF9">
        <w:rPr>
          <w:rFonts w:ascii="Times New Roman" w:hAnsi="Times New Roman" w:cs="Times New Roman"/>
          <w:sz w:val="18"/>
          <w:szCs w:val="18"/>
        </w:rPr>
        <w:t xml:space="preserve">,” </w:t>
      </w:r>
      <w:proofErr w:type="spellStart"/>
      <w:r w:rsidRPr="00C22DF9">
        <w:rPr>
          <w:rFonts w:ascii="Times New Roman" w:hAnsi="Times New Roman" w:cs="Times New Roman"/>
          <w:i/>
          <w:iCs/>
          <w:sz w:val="18"/>
          <w:szCs w:val="18"/>
        </w:rPr>
        <w:t>The</w:t>
      </w:r>
      <w:proofErr w:type="spellEnd"/>
      <w:r w:rsidRPr="00C22DF9">
        <w:rPr>
          <w:rFonts w:ascii="Times New Roman" w:hAnsi="Times New Roman" w:cs="Times New Roman"/>
          <w:i/>
          <w:iCs/>
          <w:sz w:val="18"/>
          <w:szCs w:val="18"/>
        </w:rPr>
        <w:t xml:space="preserve"> American </w:t>
      </w:r>
      <w:proofErr w:type="spellStart"/>
      <w:r w:rsidRPr="00C22DF9">
        <w:rPr>
          <w:rFonts w:ascii="Times New Roman" w:hAnsi="Times New Roman" w:cs="Times New Roman"/>
          <w:i/>
          <w:iCs/>
          <w:sz w:val="18"/>
          <w:szCs w:val="18"/>
        </w:rPr>
        <w:t>Statistician</w:t>
      </w:r>
      <w:proofErr w:type="spellEnd"/>
      <w:r w:rsidRPr="00C22DF9">
        <w:rPr>
          <w:rFonts w:ascii="Times New Roman" w:hAnsi="Times New Roman" w:cs="Times New Roman"/>
          <w:sz w:val="18"/>
          <w:szCs w:val="18"/>
        </w:rPr>
        <w:t>, vol. 72, no. 1, pp. 37–45, 2018.</w:t>
      </w:r>
      <w:r w:rsidRPr="00C22DF9">
        <w:rPr>
          <w:rFonts w:ascii="Times New Roman" w:hAnsi="Times New Roman" w:cs="Times New Roman"/>
          <w:sz w:val="18"/>
          <w:szCs w:val="18"/>
        </w:rPr>
        <w:br/>
        <w:t xml:space="preserve">[11] P. R. </w:t>
      </w:r>
      <w:proofErr w:type="spellStart"/>
      <w:r w:rsidRPr="00C22DF9">
        <w:rPr>
          <w:rFonts w:ascii="Times New Roman" w:hAnsi="Times New Roman" w:cs="Times New Roman"/>
          <w:sz w:val="18"/>
          <w:szCs w:val="18"/>
        </w:rPr>
        <w:t>Winters</w:t>
      </w:r>
      <w:proofErr w:type="spellEnd"/>
      <w:r w:rsidRPr="00C22DF9">
        <w:rPr>
          <w:rFonts w:ascii="Times New Roman" w:hAnsi="Times New Roman" w:cs="Times New Roman"/>
          <w:sz w:val="18"/>
          <w:szCs w:val="18"/>
        </w:rPr>
        <w:t>, “</w:t>
      </w:r>
      <w:proofErr w:type="spellStart"/>
      <w:r w:rsidRPr="00C22DF9">
        <w:rPr>
          <w:rFonts w:ascii="Times New Roman" w:hAnsi="Times New Roman" w:cs="Times New Roman"/>
          <w:sz w:val="18"/>
          <w:szCs w:val="18"/>
        </w:rPr>
        <w:t>Forecasting</w:t>
      </w:r>
      <w:proofErr w:type="spellEnd"/>
      <w:r w:rsidRPr="00C22DF9">
        <w:rPr>
          <w:rFonts w:ascii="Times New Roman" w:hAnsi="Times New Roman" w:cs="Times New Roman"/>
          <w:sz w:val="18"/>
          <w:szCs w:val="18"/>
        </w:rPr>
        <w:t xml:space="preserve"> sales </w:t>
      </w:r>
      <w:proofErr w:type="spellStart"/>
      <w:r w:rsidRPr="00C22DF9">
        <w:rPr>
          <w:rFonts w:ascii="Times New Roman" w:hAnsi="Times New Roman" w:cs="Times New Roman"/>
          <w:sz w:val="18"/>
          <w:szCs w:val="18"/>
        </w:rPr>
        <w:t>by</w:t>
      </w:r>
      <w:proofErr w:type="spellEnd"/>
      <w:r w:rsidRPr="00C22DF9">
        <w:rPr>
          <w:rFonts w:ascii="Times New Roman" w:hAnsi="Times New Roman" w:cs="Times New Roman"/>
          <w:sz w:val="18"/>
          <w:szCs w:val="18"/>
        </w:rPr>
        <w:t xml:space="preserve"> </w:t>
      </w:r>
      <w:proofErr w:type="spellStart"/>
      <w:r w:rsidRPr="00C22DF9">
        <w:rPr>
          <w:rFonts w:ascii="Times New Roman" w:hAnsi="Times New Roman" w:cs="Times New Roman"/>
          <w:sz w:val="18"/>
          <w:szCs w:val="18"/>
        </w:rPr>
        <w:t>exponentially</w:t>
      </w:r>
      <w:proofErr w:type="spellEnd"/>
      <w:r w:rsidRPr="00C22DF9">
        <w:rPr>
          <w:rFonts w:ascii="Times New Roman" w:hAnsi="Times New Roman" w:cs="Times New Roman"/>
          <w:sz w:val="18"/>
          <w:szCs w:val="18"/>
        </w:rPr>
        <w:t xml:space="preserve"> </w:t>
      </w:r>
      <w:proofErr w:type="spellStart"/>
      <w:r w:rsidRPr="00C22DF9">
        <w:rPr>
          <w:rFonts w:ascii="Times New Roman" w:hAnsi="Times New Roman" w:cs="Times New Roman"/>
          <w:sz w:val="18"/>
          <w:szCs w:val="18"/>
        </w:rPr>
        <w:t>weighted</w:t>
      </w:r>
      <w:proofErr w:type="spellEnd"/>
      <w:r w:rsidRPr="00C22DF9">
        <w:rPr>
          <w:rFonts w:ascii="Times New Roman" w:hAnsi="Times New Roman" w:cs="Times New Roman"/>
          <w:sz w:val="18"/>
          <w:szCs w:val="18"/>
        </w:rPr>
        <w:t xml:space="preserve"> </w:t>
      </w:r>
      <w:proofErr w:type="spellStart"/>
      <w:r w:rsidRPr="00C22DF9">
        <w:rPr>
          <w:rFonts w:ascii="Times New Roman" w:hAnsi="Times New Roman" w:cs="Times New Roman"/>
          <w:sz w:val="18"/>
          <w:szCs w:val="18"/>
        </w:rPr>
        <w:t>moving</w:t>
      </w:r>
      <w:proofErr w:type="spellEnd"/>
      <w:r w:rsidRPr="00C22DF9">
        <w:rPr>
          <w:rFonts w:ascii="Times New Roman" w:hAnsi="Times New Roman" w:cs="Times New Roman"/>
          <w:sz w:val="18"/>
          <w:szCs w:val="18"/>
        </w:rPr>
        <w:t xml:space="preserve"> </w:t>
      </w:r>
      <w:proofErr w:type="spellStart"/>
      <w:r w:rsidRPr="00C22DF9">
        <w:rPr>
          <w:rFonts w:ascii="Times New Roman" w:hAnsi="Times New Roman" w:cs="Times New Roman"/>
          <w:sz w:val="18"/>
          <w:szCs w:val="18"/>
        </w:rPr>
        <w:t>averages</w:t>
      </w:r>
      <w:proofErr w:type="spellEnd"/>
      <w:r w:rsidRPr="00C22DF9">
        <w:rPr>
          <w:rFonts w:ascii="Times New Roman" w:hAnsi="Times New Roman" w:cs="Times New Roman"/>
          <w:sz w:val="18"/>
          <w:szCs w:val="18"/>
        </w:rPr>
        <w:t xml:space="preserve">,” </w:t>
      </w:r>
      <w:r w:rsidRPr="00C22DF9">
        <w:rPr>
          <w:rFonts w:ascii="Times New Roman" w:hAnsi="Times New Roman" w:cs="Times New Roman"/>
          <w:i/>
          <w:iCs/>
          <w:sz w:val="18"/>
          <w:szCs w:val="18"/>
        </w:rPr>
        <w:t xml:space="preserve">Management </w:t>
      </w:r>
      <w:proofErr w:type="spellStart"/>
      <w:r w:rsidRPr="00C22DF9">
        <w:rPr>
          <w:rFonts w:ascii="Times New Roman" w:hAnsi="Times New Roman" w:cs="Times New Roman"/>
          <w:i/>
          <w:iCs/>
          <w:sz w:val="18"/>
          <w:szCs w:val="18"/>
        </w:rPr>
        <w:t>Science</w:t>
      </w:r>
      <w:proofErr w:type="spellEnd"/>
      <w:r w:rsidRPr="00C22DF9">
        <w:rPr>
          <w:rFonts w:ascii="Times New Roman" w:hAnsi="Times New Roman" w:cs="Times New Roman"/>
          <w:sz w:val="18"/>
          <w:szCs w:val="18"/>
        </w:rPr>
        <w:t>, vol. 6, no. 3, pp. 324–342, 1960.</w:t>
      </w:r>
      <w:r w:rsidRPr="00C22DF9">
        <w:rPr>
          <w:rFonts w:ascii="Times New Roman" w:hAnsi="Times New Roman" w:cs="Times New Roman"/>
          <w:sz w:val="18"/>
          <w:szCs w:val="18"/>
        </w:rPr>
        <w:br/>
        <w:t xml:space="preserve">[12] R. J. </w:t>
      </w:r>
      <w:proofErr w:type="spellStart"/>
      <w:r w:rsidRPr="00C22DF9">
        <w:rPr>
          <w:rFonts w:ascii="Times New Roman" w:hAnsi="Times New Roman" w:cs="Times New Roman"/>
          <w:sz w:val="18"/>
          <w:szCs w:val="18"/>
        </w:rPr>
        <w:t>Hyndman</w:t>
      </w:r>
      <w:proofErr w:type="spellEnd"/>
      <w:r w:rsidRPr="00C22DF9">
        <w:rPr>
          <w:rFonts w:ascii="Times New Roman" w:hAnsi="Times New Roman" w:cs="Times New Roman"/>
          <w:sz w:val="18"/>
          <w:szCs w:val="18"/>
        </w:rPr>
        <w:t xml:space="preserve"> et al., </w:t>
      </w:r>
      <w:proofErr w:type="spellStart"/>
      <w:r w:rsidRPr="00C22DF9">
        <w:rPr>
          <w:rFonts w:ascii="Times New Roman" w:hAnsi="Times New Roman" w:cs="Times New Roman"/>
          <w:i/>
          <w:iCs/>
          <w:sz w:val="18"/>
          <w:szCs w:val="18"/>
        </w:rPr>
        <w:t>Forecasting</w:t>
      </w:r>
      <w:proofErr w:type="spellEnd"/>
      <w:r w:rsidRPr="00C22DF9">
        <w:rPr>
          <w:rFonts w:ascii="Times New Roman" w:hAnsi="Times New Roman" w:cs="Times New Roman"/>
          <w:i/>
          <w:iCs/>
          <w:sz w:val="18"/>
          <w:szCs w:val="18"/>
        </w:rPr>
        <w:t xml:space="preserve"> </w:t>
      </w:r>
      <w:proofErr w:type="spellStart"/>
      <w:r w:rsidRPr="00C22DF9">
        <w:rPr>
          <w:rFonts w:ascii="Times New Roman" w:hAnsi="Times New Roman" w:cs="Times New Roman"/>
          <w:i/>
          <w:iCs/>
          <w:sz w:val="18"/>
          <w:szCs w:val="18"/>
        </w:rPr>
        <w:t>with</w:t>
      </w:r>
      <w:proofErr w:type="spellEnd"/>
      <w:r w:rsidRPr="00C22DF9">
        <w:rPr>
          <w:rFonts w:ascii="Times New Roman" w:hAnsi="Times New Roman" w:cs="Times New Roman"/>
          <w:i/>
          <w:iCs/>
          <w:sz w:val="18"/>
          <w:szCs w:val="18"/>
        </w:rPr>
        <w:t xml:space="preserve"> </w:t>
      </w:r>
      <w:proofErr w:type="spellStart"/>
      <w:r w:rsidRPr="00C22DF9">
        <w:rPr>
          <w:rFonts w:ascii="Times New Roman" w:hAnsi="Times New Roman" w:cs="Times New Roman"/>
          <w:i/>
          <w:iCs/>
          <w:sz w:val="18"/>
          <w:szCs w:val="18"/>
        </w:rPr>
        <w:t>Exponential</w:t>
      </w:r>
      <w:proofErr w:type="spellEnd"/>
      <w:r w:rsidRPr="00C22DF9">
        <w:rPr>
          <w:rFonts w:ascii="Times New Roman" w:hAnsi="Times New Roman" w:cs="Times New Roman"/>
          <w:i/>
          <w:iCs/>
          <w:sz w:val="18"/>
          <w:szCs w:val="18"/>
        </w:rPr>
        <w:t xml:space="preserve"> </w:t>
      </w:r>
      <w:proofErr w:type="spellStart"/>
      <w:r w:rsidRPr="00C22DF9">
        <w:rPr>
          <w:rFonts w:ascii="Times New Roman" w:hAnsi="Times New Roman" w:cs="Times New Roman"/>
          <w:i/>
          <w:iCs/>
          <w:sz w:val="18"/>
          <w:szCs w:val="18"/>
        </w:rPr>
        <w:t>Smoothing</w:t>
      </w:r>
      <w:proofErr w:type="spellEnd"/>
      <w:r w:rsidRPr="00C22DF9">
        <w:rPr>
          <w:rFonts w:ascii="Times New Roman" w:hAnsi="Times New Roman" w:cs="Times New Roman"/>
          <w:i/>
          <w:iCs/>
          <w:sz w:val="18"/>
          <w:szCs w:val="18"/>
        </w:rPr>
        <w:t xml:space="preserve">: </w:t>
      </w:r>
      <w:proofErr w:type="spellStart"/>
      <w:r w:rsidRPr="00C22DF9">
        <w:rPr>
          <w:rFonts w:ascii="Times New Roman" w:hAnsi="Times New Roman" w:cs="Times New Roman"/>
          <w:i/>
          <w:iCs/>
          <w:sz w:val="18"/>
          <w:szCs w:val="18"/>
        </w:rPr>
        <w:t>The</w:t>
      </w:r>
      <w:proofErr w:type="spellEnd"/>
      <w:r w:rsidRPr="00C22DF9">
        <w:rPr>
          <w:rFonts w:ascii="Times New Roman" w:hAnsi="Times New Roman" w:cs="Times New Roman"/>
          <w:i/>
          <w:iCs/>
          <w:sz w:val="18"/>
          <w:szCs w:val="18"/>
        </w:rPr>
        <w:t xml:space="preserve"> </w:t>
      </w:r>
      <w:proofErr w:type="spellStart"/>
      <w:r w:rsidRPr="00C22DF9">
        <w:rPr>
          <w:rFonts w:ascii="Times New Roman" w:hAnsi="Times New Roman" w:cs="Times New Roman"/>
          <w:i/>
          <w:iCs/>
          <w:sz w:val="18"/>
          <w:szCs w:val="18"/>
        </w:rPr>
        <w:t>State</w:t>
      </w:r>
      <w:proofErr w:type="spellEnd"/>
      <w:r w:rsidRPr="00C22DF9">
        <w:rPr>
          <w:rFonts w:ascii="Times New Roman" w:hAnsi="Times New Roman" w:cs="Times New Roman"/>
          <w:i/>
          <w:iCs/>
          <w:sz w:val="18"/>
          <w:szCs w:val="18"/>
        </w:rPr>
        <w:t xml:space="preserve"> </w:t>
      </w:r>
      <w:proofErr w:type="spellStart"/>
      <w:r w:rsidRPr="00C22DF9">
        <w:rPr>
          <w:rFonts w:ascii="Times New Roman" w:hAnsi="Times New Roman" w:cs="Times New Roman"/>
          <w:i/>
          <w:iCs/>
          <w:sz w:val="18"/>
          <w:szCs w:val="18"/>
        </w:rPr>
        <w:t>Space</w:t>
      </w:r>
      <w:proofErr w:type="spellEnd"/>
      <w:r w:rsidRPr="00C22DF9">
        <w:rPr>
          <w:rFonts w:ascii="Times New Roman" w:hAnsi="Times New Roman" w:cs="Times New Roman"/>
          <w:i/>
          <w:iCs/>
          <w:sz w:val="18"/>
          <w:szCs w:val="18"/>
        </w:rPr>
        <w:t xml:space="preserve"> </w:t>
      </w:r>
      <w:proofErr w:type="spellStart"/>
      <w:r w:rsidRPr="00C22DF9">
        <w:rPr>
          <w:rFonts w:ascii="Times New Roman" w:hAnsi="Times New Roman" w:cs="Times New Roman"/>
          <w:i/>
          <w:iCs/>
          <w:sz w:val="18"/>
          <w:szCs w:val="18"/>
        </w:rPr>
        <w:t>Approach</w:t>
      </w:r>
      <w:proofErr w:type="spellEnd"/>
      <w:r w:rsidRPr="00C22DF9">
        <w:rPr>
          <w:rFonts w:ascii="Times New Roman" w:hAnsi="Times New Roman" w:cs="Times New Roman"/>
          <w:sz w:val="18"/>
          <w:szCs w:val="18"/>
        </w:rPr>
        <w:t>. Springer, 2008.</w:t>
      </w:r>
      <w:r w:rsidRPr="00C22DF9">
        <w:rPr>
          <w:rFonts w:ascii="Times New Roman" w:hAnsi="Times New Roman" w:cs="Times New Roman"/>
          <w:sz w:val="18"/>
          <w:szCs w:val="18"/>
        </w:rPr>
        <w:br/>
        <w:t xml:space="preserve">[13] G. E. P. Box, G. M. Jenkins, G. </w:t>
      </w:r>
      <w:proofErr w:type="spellStart"/>
      <w:r w:rsidRPr="00C22DF9">
        <w:rPr>
          <w:rFonts w:ascii="Times New Roman" w:hAnsi="Times New Roman" w:cs="Times New Roman"/>
          <w:sz w:val="18"/>
          <w:szCs w:val="18"/>
        </w:rPr>
        <w:t>Reinsel</w:t>
      </w:r>
      <w:proofErr w:type="spellEnd"/>
      <w:r w:rsidRPr="00C22DF9">
        <w:rPr>
          <w:rFonts w:ascii="Times New Roman" w:hAnsi="Times New Roman" w:cs="Times New Roman"/>
          <w:sz w:val="18"/>
          <w:szCs w:val="18"/>
        </w:rPr>
        <w:t xml:space="preserve">, and G. </w:t>
      </w:r>
      <w:proofErr w:type="spellStart"/>
      <w:r w:rsidRPr="00C22DF9">
        <w:rPr>
          <w:rFonts w:ascii="Times New Roman" w:hAnsi="Times New Roman" w:cs="Times New Roman"/>
          <w:sz w:val="18"/>
          <w:szCs w:val="18"/>
        </w:rPr>
        <w:t>Ljung</w:t>
      </w:r>
      <w:proofErr w:type="spellEnd"/>
      <w:r w:rsidRPr="00C22DF9">
        <w:rPr>
          <w:rFonts w:ascii="Times New Roman" w:hAnsi="Times New Roman" w:cs="Times New Roman"/>
          <w:sz w:val="18"/>
          <w:szCs w:val="18"/>
        </w:rPr>
        <w:t xml:space="preserve">, </w:t>
      </w:r>
      <w:r w:rsidRPr="00C22DF9">
        <w:rPr>
          <w:rFonts w:ascii="Times New Roman" w:hAnsi="Times New Roman" w:cs="Times New Roman"/>
          <w:i/>
          <w:iCs/>
          <w:sz w:val="18"/>
          <w:szCs w:val="18"/>
        </w:rPr>
        <w:t xml:space="preserve">Time Series </w:t>
      </w:r>
      <w:proofErr w:type="spellStart"/>
      <w:r w:rsidRPr="00C22DF9">
        <w:rPr>
          <w:rFonts w:ascii="Times New Roman" w:hAnsi="Times New Roman" w:cs="Times New Roman"/>
          <w:i/>
          <w:iCs/>
          <w:sz w:val="18"/>
          <w:szCs w:val="18"/>
        </w:rPr>
        <w:t>Analysis</w:t>
      </w:r>
      <w:proofErr w:type="spellEnd"/>
      <w:r w:rsidRPr="00C22DF9">
        <w:rPr>
          <w:rFonts w:ascii="Times New Roman" w:hAnsi="Times New Roman" w:cs="Times New Roman"/>
          <w:i/>
          <w:iCs/>
          <w:sz w:val="18"/>
          <w:szCs w:val="18"/>
        </w:rPr>
        <w:t xml:space="preserve">: </w:t>
      </w:r>
      <w:proofErr w:type="spellStart"/>
      <w:r w:rsidRPr="00C22DF9">
        <w:rPr>
          <w:rFonts w:ascii="Times New Roman" w:hAnsi="Times New Roman" w:cs="Times New Roman"/>
          <w:i/>
          <w:iCs/>
          <w:sz w:val="18"/>
          <w:szCs w:val="18"/>
        </w:rPr>
        <w:t>Forecasting</w:t>
      </w:r>
      <w:proofErr w:type="spellEnd"/>
      <w:r w:rsidRPr="00C22DF9">
        <w:rPr>
          <w:rFonts w:ascii="Times New Roman" w:hAnsi="Times New Roman" w:cs="Times New Roman"/>
          <w:i/>
          <w:iCs/>
          <w:sz w:val="18"/>
          <w:szCs w:val="18"/>
        </w:rPr>
        <w:t xml:space="preserve"> and Control</w:t>
      </w:r>
      <w:r w:rsidRPr="00C22DF9">
        <w:rPr>
          <w:rFonts w:ascii="Times New Roman" w:hAnsi="Times New Roman" w:cs="Times New Roman"/>
          <w:sz w:val="18"/>
          <w:szCs w:val="18"/>
        </w:rPr>
        <w:t>, 5th ed., Wiley, 2015.</w:t>
      </w:r>
    </w:p>
    <w:p w14:paraId="5AA410B7" w14:textId="07DD6E85" w:rsidR="00505398" w:rsidRPr="00C22DF9" w:rsidRDefault="00505398" w:rsidP="00C22DF9">
      <w:pPr>
        <w:pStyle w:val="Sinespaciado"/>
        <w:jc w:val="both"/>
        <w:rPr>
          <w:rFonts w:ascii="Times New Roman" w:hAnsi="Times New Roman" w:cs="Times New Roman"/>
          <w:sz w:val="18"/>
          <w:szCs w:val="18"/>
        </w:rPr>
      </w:pPr>
      <w:r w:rsidRPr="00C22DF9">
        <w:rPr>
          <w:rFonts w:ascii="Times New Roman" w:hAnsi="Times New Roman" w:cs="Times New Roman"/>
          <w:sz w:val="18"/>
          <w:szCs w:val="18"/>
        </w:rPr>
        <w:t>[1</w:t>
      </w:r>
      <w:r w:rsidRPr="00C22DF9">
        <w:rPr>
          <w:rFonts w:ascii="Times New Roman" w:hAnsi="Times New Roman" w:cs="Times New Roman"/>
          <w:sz w:val="18"/>
          <w:szCs w:val="18"/>
        </w:rPr>
        <w:t>4</w:t>
      </w:r>
      <w:r w:rsidRPr="00C22DF9">
        <w:rPr>
          <w:rFonts w:ascii="Times New Roman" w:hAnsi="Times New Roman" w:cs="Times New Roman"/>
          <w:sz w:val="18"/>
          <w:szCs w:val="18"/>
        </w:rPr>
        <w:t xml:space="preserve">] International Energy Agency, </w:t>
      </w:r>
      <w:r w:rsidRPr="00C22DF9">
        <w:rPr>
          <w:rFonts w:ascii="Times New Roman" w:hAnsi="Times New Roman" w:cs="Times New Roman"/>
          <w:i/>
          <w:iCs/>
          <w:sz w:val="18"/>
          <w:szCs w:val="18"/>
        </w:rPr>
        <w:t xml:space="preserve">Energy Security: </w:t>
      </w:r>
      <w:proofErr w:type="spellStart"/>
      <w:r w:rsidRPr="00C22DF9">
        <w:rPr>
          <w:rFonts w:ascii="Times New Roman" w:hAnsi="Times New Roman" w:cs="Times New Roman"/>
          <w:i/>
          <w:iCs/>
          <w:sz w:val="18"/>
          <w:szCs w:val="18"/>
        </w:rPr>
        <w:t>Ensuring</w:t>
      </w:r>
      <w:proofErr w:type="spellEnd"/>
      <w:r w:rsidRPr="00C22DF9">
        <w:rPr>
          <w:rFonts w:ascii="Times New Roman" w:hAnsi="Times New Roman" w:cs="Times New Roman"/>
          <w:i/>
          <w:iCs/>
          <w:sz w:val="18"/>
          <w:szCs w:val="18"/>
        </w:rPr>
        <w:t xml:space="preserve"> </w:t>
      </w:r>
      <w:proofErr w:type="spellStart"/>
      <w:r w:rsidRPr="00C22DF9">
        <w:rPr>
          <w:rFonts w:ascii="Times New Roman" w:hAnsi="Times New Roman" w:cs="Times New Roman"/>
          <w:i/>
          <w:iCs/>
          <w:sz w:val="18"/>
          <w:szCs w:val="18"/>
        </w:rPr>
        <w:t>Reliable</w:t>
      </w:r>
      <w:proofErr w:type="spellEnd"/>
      <w:r w:rsidRPr="00C22DF9">
        <w:rPr>
          <w:rFonts w:ascii="Times New Roman" w:hAnsi="Times New Roman" w:cs="Times New Roman"/>
          <w:i/>
          <w:iCs/>
          <w:sz w:val="18"/>
          <w:szCs w:val="18"/>
        </w:rPr>
        <w:t xml:space="preserve">, </w:t>
      </w:r>
      <w:proofErr w:type="spellStart"/>
      <w:r w:rsidRPr="00C22DF9">
        <w:rPr>
          <w:rFonts w:ascii="Times New Roman" w:hAnsi="Times New Roman" w:cs="Times New Roman"/>
          <w:i/>
          <w:iCs/>
          <w:sz w:val="18"/>
          <w:szCs w:val="18"/>
        </w:rPr>
        <w:t>Affordable</w:t>
      </w:r>
      <w:proofErr w:type="spellEnd"/>
      <w:r w:rsidRPr="00C22DF9">
        <w:rPr>
          <w:rFonts w:ascii="Times New Roman" w:hAnsi="Times New Roman" w:cs="Times New Roman"/>
          <w:i/>
          <w:iCs/>
          <w:sz w:val="18"/>
          <w:szCs w:val="18"/>
        </w:rPr>
        <w:t xml:space="preserve">, and </w:t>
      </w:r>
      <w:proofErr w:type="spellStart"/>
      <w:r w:rsidRPr="00C22DF9">
        <w:rPr>
          <w:rFonts w:ascii="Times New Roman" w:hAnsi="Times New Roman" w:cs="Times New Roman"/>
          <w:i/>
          <w:iCs/>
          <w:sz w:val="18"/>
          <w:szCs w:val="18"/>
        </w:rPr>
        <w:t>Sustainable</w:t>
      </w:r>
      <w:proofErr w:type="spellEnd"/>
      <w:r w:rsidRPr="00C22DF9">
        <w:rPr>
          <w:rFonts w:ascii="Times New Roman" w:hAnsi="Times New Roman" w:cs="Times New Roman"/>
          <w:i/>
          <w:iCs/>
          <w:sz w:val="18"/>
          <w:szCs w:val="18"/>
        </w:rPr>
        <w:t xml:space="preserve"> Energy</w:t>
      </w:r>
      <w:r w:rsidRPr="00C22DF9">
        <w:rPr>
          <w:rFonts w:ascii="Times New Roman" w:hAnsi="Times New Roman" w:cs="Times New Roman"/>
          <w:sz w:val="18"/>
          <w:szCs w:val="18"/>
        </w:rPr>
        <w:t>, 2023.</w:t>
      </w:r>
    </w:p>
    <w:p w14:paraId="224A47A1" w14:textId="3723BF3C" w:rsidR="00505398" w:rsidRPr="00C22DF9" w:rsidRDefault="00505398" w:rsidP="00C22DF9">
      <w:pPr>
        <w:pStyle w:val="Sinespaciado"/>
        <w:jc w:val="both"/>
        <w:rPr>
          <w:rFonts w:ascii="Times New Roman" w:hAnsi="Times New Roman" w:cs="Times New Roman"/>
          <w:sz w:val="18"/>
          <w:szCs w:val="18"/>
        </w:rPr>
      </w:pPr>
      <w:r w:rsidRPr="00C22DF9">
        <w:rPr>
          <w:rFonts w:ascii="Times New Roman" w:hAnsi="Times New Roman" w:cs="Times New Roman"/>
          <w:sz w:val="18"/>
          <w:szCs w:val="18"/>
        </w:rPr>
        <w:t>[</w:t>
      </w:r>
      <w:r w:rsidR="00F347DA" w:rsidRPr="00C22DF9">
        <w:rPr>
          <w:rFonts w:ascii="Times New Roman" w:hAnsi="Times New Roman" w:cs="Times New Roman"/>
          <w:sz w:val="18"/>
          <w:szCs w:val="18"/>
        </w:rPr>
        <w:t>1</w:t>
      </w:r>
      <w:r w:rsidR="00735353" w:rsidRPr="00C22DF9">
        <w:rPr>
          <w:rFonts w:ascii="Times New Roman" w:hAnsi="Times New Roman" w:cs="Times New Roman"/>
          <w:sz w:val="18"/>
          <w:szCs w:val="18"/>
        </w:rPr>
        <w:t>5</w:t>
      </w:r>
      <w:r w:rsidRPr="00C22DF9">
        <w:rPr>
          <w:rFonts w:ascii="Times New Roman" w:hAnsi="Times New Roman" w:cs="Times New Roman"/>
          <w:sz w:val="18"/>
          <w:szCs w:val="18"/>
        </w:rPr>
        <w:t xml:space="preserve">] M. A. Green, “Solar </w:t>
      </w:r>
      <w:proofErr w:type="spellStart"/>
      <w:r w:rsidRPr="00C22DF9">
        <w:rPr>
          <w:rFonts w:ascii="Times New Roman" w:hAnsi="Times New Roman" w:cs="Times New Roman"/>
          <w:sz w:val="18"/>
          <w:szCs w:val="18"/>
        </w:rPr>
        <w:t>cell</w:t>
      </w:r>
      <w:proofErr w:type="spellEnd"/>
      <w:r w:rsidRPr="00C22DF9">
        <w:rPr>
          <w:rFonts w:ascii="Times New Roman" w:hAnsi="Times New Roman" w:cs="Times New Roman"/>
          <w:sz w:val="18"/>
          <w:szCs w:val="18"/>
        </w:rPr>
        <w:t xml:space="preserve"> </w:t>
      </w:r>
      <w:proofErr w:type="spellStart"/>
      <w:r w:rsidRPr="00C22DF9">
        <w:rPr>
          <w:rFonts w:ascii="Times New Roman" w:hAnsi="Times New Roman" w:cs="Times New Roman"/>
          <w:sz w:val="18"/>
          <w:szCs w:val="18"/>
        </w:rPr>
        <w:t>efficiency</w:t>
      </w:r>
      <w:proofErr w:type="spellEnd"/>
      <w:r w:rsidRPr="00C22DF9">
        <w:rPr>
          <w:rFonts w:ascii="Times New Roman" w:hAnsi="Times New Roman" w:cs="Times New Roman"/>
          <w:sz w:val="18"/>
          <w:szCs w:val="18"/>
        </w:rPr>
        <w:t xml:space="preserve"> tables (</w:t>
      </w:r>
      <w:proofErr w:type="spellStart"/>
      <w:r w:rsidRPr="00C22DF9">
        <w:rPr>
          <w:rFonts w:ascii="Times New Roman" w:hAnsi="Times New Roman" w:cs="Times New Roman"/>
          <w:sz w:val="18"/>
          <w:szCs w:val="18"/>
        </w:rPr>
        <w:t>version</w:t>
      </w:r>
      <w:proofErr w:type="spellEnd"/>
      <w:r w:rsidRPr="00C22DF9">
        <w:rPr>
          <w:rFonts w:ascii="Times New Roman" w:hAnsi="Times New Roman" w:cs="Times New Roman"/>
          <w:sz w:val="18"/>
          <w:szCs w:val="18"/>
        </w:rPr>
        <w:t xml:space="preserve"> 54),” </w:t>
      </w:r>
      <w:proofErr w:type="spellStart"/>
      <w:r w:rsidRPr="00C22DF9">
        <w:rPr>
          <w:rFonts w:ascii="Times New Roman" w:hAnsi="Times New Roman" w:cs="Times New Roman"/>
          <w:i/>
          <w:iCs/>
          <w:sz w:val="18"/>
          <w:szCs w:val="18"/>
        </w:rPr>
        <w:t>Progress</w:t>
      </w:r>
      <w:proofErr w:type="spellEnd"/>
      <w:r w:rsidRPr="00C22DF9">
        <w:rPr>
          <w:rFonts w:ascii="Times New Roman" w:hAnsi="Times New Roman" w:cs="Times New Roman"/>
          <w:i/>
          <w:iCs/>
          <w:sz w:val="18"/>
          <w:szCs w:val="18"/>
        </w:rPr>
        <w:t xml:space="preserve"> in </w:t>
      </w:r>
      <w:proofErr w:type="spellStart"/>
      <w:r w:rsidRPr="00C22DF9">
        <w:rPr>
          <w:rFonts w:ascii="Times New Roman" w:hAnsi="Times New Roman" w:cs="Times New Roman"/>
          <w:i/>
          <w:iCs/>
          <w:sz w:val="18"/>
          <w:szCs w:val="18"/>
        </w:rPr>
        <w:t>Photovoltaics</w:t>
      </w:r>
      <w:proofErr w:type="spellEnd"/>
      <w:r w:rsidRPr="00C22DF9">
        <w:rPr>
          <w:rFonts w:ascii="Times New Roman" w:hAnsi="Times New Roman" w:cs="Times New Roman"/>
          <w:sz w:val="18"/>
          <w:szCs w:val="18"/>
        </w:rPr>
        <w:t>, vol. 27, no. 7, pp. 565–575, 2019.</w:t>
      </w:r>
    </w:p>
    <w:p w14:paraId="16AAC1A9" w14:textId="5F0F9C86" w:rsidR="00505398" w:rsidRPr="00C22DF9" w:rsidRDefault="00505398" w:rsidP="00C22DF9">
      <w:pPr>
        <w:pStyle w:val="Sinespaciado"/>
        <w:jc w:val="both"/>
        <w:rPr>
          <w:rFonts w:ascii="Times New Roman" w:hAnsi="Times New Roman" w:cs="Times New Roman"/>
          <w:sz w:val="18"/>
          <w:szCs w:val="18"/>
        </w:rPr>
      </w:pPr>
      <w:r w:rsidRPr="00C22DF9">
        <w:rPr>
          <w:rFonts w:ascii="Times New Roman" w:hAnsi="Times New Roman" w:cs="Times New Roman"/>
          <w:sz w:val="18"/>
          <w:szCs w:val="18"/>
        </w:rPr>
        <w:t>[</w:t>
      </w:r>
      <w:r w:rsidR="00F347DA" w:rsidRPr="00C22DF9">
        <w:rPr>
          <w:rFonts w:ascii="Times New Roman" w:hAnsi="Times New Roman" w:cs="Times New Roman"/>
          <w:sz w:val="18"/>
          <w:szCs w:val="18"/>
        </w:rPr>
        <w:t>1</w:t>
      </w:r>
      <w:r w:rsidR="00735353" w:rsidRPr="00C22DF9">
        <w:rPr>
          <w:rFonts w:ascii="Times New Roman" w:hAnsi="Times New Roman" w:cs="Times New Roman"/>
          <w:sz w:val="18"/>
          <w:szCs w:val="18"/>
        </w:rPr>
        <w:t>6</w:t>
      </w:r>
      <w:r w:rsidRPr="00C22DF9">
        <w:rPr>
          <w:rFonts w:ascii="Times New Roman" w:hAnsi="Times New Roman" w:cs="Times New Roman"/>
          <w:sz w:val="18"/>
          <w:szCs w:val="18"/>
        </w:rPr>
        <w:t xml:space="preserve">] T. Burton, D. Sharpe, N. Jenkins, and E. </w:t>
      </w:r>
      <w:proofErr w:type="spellStart"/>
      <w:r w:rsidRPr="00C22DF9">
        <w:rPr>
          <w:rFonts w:ascii="Times New Roman" w:hAnsi="Times New Roman" w:cs="Times New Roman"/>
          <w:sz w:val="18"/>
          <w:szCs w:val="18"/>
        </w:rPr>
        <w:t>Bossanyi</w:t>
      </w:r>
      <w:proofErr w:type="spellEnd"/>
      <w:r w:rsidRPr="00C22DF9">
        <w:rPr>
          <w:rFonts w:ascii="Times New Roman" w:hAnsi="Times New Roman" w:cs="Times New Roman"/>
          <w:sz w:val="18"/>
          <w:szCs w:val="18"/>
        </w:rPr>
        <w:t xml:space="preserve">, </w:t>
      </w:r>
      <w:proofErr w:type="spellStart"/>
      <w:r w:rsidRPr="00C22DF9">
        <w:rPr>
          <w:rFonts w:ascii="Times New Roman" w:hAnsi="Times New Roman" w:cs="Times New Roman"/>
          <w:i/>
          <w:iCs/>
          <w:sz w:val="18"/>
          <w:szCs w:val="18"/>
        </w:rPr>
        <w:t>Wind</w:t>
      </w:r>
      <w:proofErr w:type="spellEnd"/>
      <w:r w:rsidRPr="00C22DF9">
        <w:rPr>
          <w:rFonts w:ascii="Times New Roman" w:hAnsi="Times New Roman" w:cs="Times New Roman"/>
          <w:i/>
          <w:iCs/>
          <w:sz w:val="18"/>
          <w:szCs w:val="18"/>
        </w:rPr>
        <w:t xml:space="preserve"> Energy </w:t>
      </w:r>
      <w:proofErr w:type="spellStart"/>
      <w:r w:rsidRPr="00C22DF9">
        <w:rPr>
          <w:rFonts w:ascii="Times New Roman" w:hAnsi="Times New Roman" w:cs="Times New Roman"/>
          <w:i/>
          <w:iCs/>
          <w:sz w:val="18"/>
          <w:szCs w:val="18"/>
        </w:rPr>
        <w:t>Handbook</w:t>
      </w:r>
      <w:proofErr w:type="spellEnd"/>
      <w:r w:rsidRPr="00C22DF9">
        <w:rPr>
          <w:rFonts w:ascii="Times New Roman" w:hAnsi="Times New Roman" w:cs="Times New Roman"/>
          <w:sz w:val="18"/>
          <w:szCs w:val="18"/>
        </w:rPr>
        <w:t>, 2nd ed. Wiley, 2011.</w:t>
      </w:r>
    </w:p>
    <w:sectPr w:rsidR="00505398" w:rsidRPr="00C22DF9" w:rsidSect="001E7130">
      <w:pgSz w:w="12240" w:h="15840" w:code="1"/>
      <w:pgMar w:top="1077" w:right="902" w:bottom="1440" w:left="90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BAD"/>
    <w:multiLevelType w:val="multilevel"/>
    <w:tmpl w:val="6E1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51E7C"/>
    <w:multiLevelType w:val="multilevel"/>
    <w:tmpl w:val="4A1E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743FA"/>
    <w:multiLevelType w:val="multilevel"/>
    <w:tmpl w:val="4516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B6C38"/>
    <w:multiLevelType w:val="hybridMultilevel"/>
    <w:tmpl w:val="C9FC67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7F6F6A"/>
    <w:multiLevelType w:val="multilevel"/>
    <w:tmpl w:val="2A48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B7676"/>
    <w:multiLevelType w:val="multilevel"/>
    <w:tmpl w:val="A9A4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811D5"/>
    <w:multiLevelType w:val="hybridMultilevel"/>
    <w:tmpl w:val="7CFAFC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B067C48"/>
    <w:multiLevelType w:val="multilevel"/>
    <w:tmpl w:val="05E6933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EC47405"/>
    <w:multiLevelType w:val="multilevel"/>
    <w:tmpl w:val="473A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57B4F"/>
    <w:multiLevelType w:val="hybridMultilevel"/>
    <w:tmpl w:val="EBD27E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243685E"/>
    <w:multiLevelType w:val="multilevel"/>
    <w:tmpl w:val="698C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D0765"/>
    <w:multiLevelType w:val="multilevel"/>
    <w:tmpl w:val="CD7C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32023"/>
    <w:multiLevelType w:val="multilevel"/>
    <w:tmpl w:val="370E7F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A162E3E"/>
    <w:multiLevelType w:val="multilevel"/>
    <w:tmpl w:val="9DD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C0B5B"/>
    <w:multiLevelType w:val="multilevel"/>
    <w:tmpl w:val="C822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226DC"/>
    <w:multiLevelType w:val="multilevel"/>
    <w:tmpl w:val="DD1405F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B996324"/>
    <w:multiLevelType w:val="multilevel"/>
    <w:tmpl w:val="C0FC32FC"/>
    <w:lvl w:ilvl="0">
      <w:start w:val="4"/>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4F7466EF"/>
    <w:multiLevelType w:val="multilevel"/>
    <w:tmpl w:val="7C7E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C47A6"/>
    <w:multiLevelType w:val="hybridMultilevel"/>
    <w:tmpl w:val="E4AE88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CC96544"/>
    <w:multiLevelType w:val="multilevel"/>
    <w:tmpl w:val="5C1E505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7950A22"/>
    <w:multiLevelType w:val="multilevel"/>
    <w:tmpl w:val="BF129F2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77EF4B0C"/>
    <w:multiLevelType w:val="hybridMultilevel"/>
    <w:tmpl w:val="BA304A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C2328DE"/>
    <w:multiLevelType w:val="hybridMultilevel"/>
    <w:tmpl w:val="01162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04990258">
    <w:abstractNumId w:val="12"/>
  </w:num>
  <w:num w:numId="2" w16cid:durableId="563685538">
    <w:abstractNumId w:val="22"/>
  </w:num>
  <w:num w:numId="3" w16cid:durableId="1890339789">
    <w:abstractNumId w:val="8"/>
  </w:num>
  <w:num w:numId="4" w16cid:durableId="1170220331">
    <w:abstractNumId w:val="13"/>
  </w:num>
  <w:num w:numId="5" w16cid:durableId="1007053435">
    <w:abstractNumId w:val="2"/>
  </w:num>
  <w:num w:numId="6" w16cid:durableId="1980727027">
    <w:abstractNumId w:val="11"/>
  </w:num>
  <w:num w:numId="7" w16cid:durableId="215044481">
    <w:abstractNumId w:val="1"/>
  </w:num>
  <w:num w:numId="8" w16cid:durableId="614097302">
    <w:abstractNumId w:val="7"/>
  </w:num>
  <w:num w:numId="9" w16cid:durableId="2035375832">
    <w:abstractNumId w:val="16"/>
  </w:num>
  <w:num w:numId="10" w16cid:durableId="1868982426">
    <w:abstractNumId w:val="9"/>
  </w:num>
  <w:num w:numId="11" w16cid:durableId="474224552">
    <w:abstractNumId w:val="19"/>
  </w:num>
  <w:num w:numId="12" w16cid:durableId="1033068421">
    <w:abstractNumId w:val="20"/>
  </w:num>
  <w:num w:numId="13" w16cid:durableId="1092044005">
    <w:abstractNumId w:val="15"/>
  </w:num>
  <w:num w:numId="14" w16cid:durableId="1154416736">
    <w:abstractNumId w:val="14"/>
  </w:num>
  <w:num w:numId="15" w16cid:durableId="786385721">
    <w:abstractNumId w:val="4"/>
  </w:num>
  <w:num w:numId="16" w16cid:durableId="1189023122">
    <w:abstractNumId w:val="5"/>
  </w:num>
  <w:num w:numId="17" w16cid:durableId="767236046">
    <w:abstractNumId w:val="17"/>
  </w:num>
  <w:num w:numId="18" w16cid:durableId="242373451">
    <w:abstractNumId w:val="0"/>
  </w:num>
  <w:num w:numId="19" w16cid:durableId="2058115516">
    <w:abstractNumId w:val="10"/>
  </w:num>
  <w:num w:numId="20" w16cid:durableId="2118864873">
    <w:abstractNumId w:val="18"/>
  </w:num>
  <w:num w:numId="21" w16cid:durableId="20479284">
    <w:abstractNumId w:val="6"/>
  </w:num>
  <w:num w:numId="22" w16cid:durableId="1621297552">
    <w:abstractNumId w:val="21"/>
  </w:num>
  <w:num w:numId="23" w16cid:durableId="702899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1A7"/>
    <w:rsid w:val="001C0399"/>
    <w:rsid w:val="001E7130"/>
    <w:rsid w:val="00235BBB"/>
    <w:rsid w:val="00261E58"/>
    <w:rsid w:val="00280FDD"/>
    <w:rsid w:val="0038325D"/>
    <w:rsid w:val="00505398"/>
    <w:rsid w:val="00541796"/>
    <w:rsid w:val="005E0154"/>
    <w:rsid w:val="00662C2D"/>
    <w:rsid w:val="00735353"/>
    <w:rsid w:val="007516B7"/>
    <w:rsid w:val="008D36C9"/>
    <w:rsid w:val="00970A2D"/>
    <w:rsid w:val="00A07EE0"/>
    <w:rsid w:val="00AB0696"/>
    <w:rsid w:val="00B44467"/>
    <w:rsid w:val="00B64088"/>
    <w:rsid w:val="00BC442D"/>
    <w:rsid w:val="00BF087D"/>
    <w:rsid w:val="00C22DF9"/>
    <w:rsid w:val="00C441A7"/>
    <w:rsid w:val="00CB6663"/>
    <w:rsid w:val="00D03A54"/>
    <w:rsid w:val="00D75279"/>
    <w:rsid w:val="00DB4A36"/>
    <w:rsid w:val="00DC0ED5"/>
    <w:rsid w:val="00DF5281"/>
    <w:rsid w:val="00E4234E"/>
    <w:rsid w:val="00F347DA"/>
    <w:rsid w:val="00F5484D"/>
    <w:rsid w:val="00F946EE"/>
    <w:rsid w:val="00FB74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FCAD5"/>
  <w15:chartTrackingRefBased/>
  <w15:docId w15:val="{E9F2419E-F44D-4461-8063-058FD6AE0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4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4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41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41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41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41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41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41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41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41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41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41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41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41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41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41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41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41A7"/>
    <w:rPr>
      <w:rFonts w:eastAsiaTheme="majorEastAsia" w:cstheme="majorBidi"/>
      <w:color w:val="272727" w:themeColor="text1" w:themeTint="D8"/>
    </w:rPr>
  </w:style>
  <w:style w:type="paragraph" w:styleId="Ttulo">
    <w:name w:val="Title"/>
    <w:basedOn w:val="Normal"/>
    <w:next w:val="Normal"/>
    <w:link w:val="TtuloCar"/>
    <w:uiPriority w:val="10"/>
    <w:qFormat/>
    <w:rsid w:val="00C44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41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41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41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41A7"/>
    <w:pPr>
      <w:spacing w:before="160"/>
      <w:jc w:val="center"/>
    </w:pPr>
    <w:rPr>
      <w:i/>
      <w:iCs/>
      <w:color w:val="404040" w:themeColor="text1" w:themeTint="BF"/>
    </w:rPr>
  </w:style>
  <w:style w:type="character" w:customStyle="1" w:styleId="CitaCar">
    <w:name w:val="Cita Car"/>
    <w:basedOn w:val="Fuentedeprrafopredeter"/>
    <w:link w:val="Cita"/>
    <w:uiPriority w:val="29"/>
    <w:rsid w:val="00C441A7"/>
    <w:rPr>
      <w:i/>
      <w:iCs/>
      <w:color w:val="404040" w:themeColor="text1" w:themeTint="BF"/>
    </w:rPr>
  </w:style>
  <w:style w:type="paragraph" w:styleId="Prrafodelista">
    <w:name w:val="List Paragraph"/>
    <w:basedOn w:val="Normal"/>
    <w:uiPriority w:val="34"/>
    <w:qFormat/>
    <w:rsid w:val="00C441A7"/>
    <w:pPr>
      <w:ind w:left="720"/>
      <w:contextualSpacing/>
    </w:pPr>
  </w:style>
  <w:style w:type="character" w:styleId="nfasisintenso">
    <w:name w:val="Intense Emphasis"/>
    <w:basedOn w:val="Fuentedeprrafopredeter"/>
    <w:uiPriority w:val="21"/>
    <w:qFormat/>
    <w:rsid w:val="00C441A7"/>
    <w:rPr>
      <w:i/>
      <w:iCs/>
      <w:color w:val="0F4761" w:themeColor="accent1" w:themeShade="BF"/>
    </w:rPr>
  </w:style>
  <w:style w:type="paragraph" w:styleId="Citadestacada">
    <w:name w:val="Intense Quote"/>
    <w:basedOn w:val="Normal"/>
    <w:next w:val="Normal"/>
    <w:link w:val="CitadestacadaCar"/>
    <w:uiPriority w:val="30"/>
    <w:qFormat/>
    <w:rsid w:val="00C44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41A7"/>
    <w:rPr>
      <w:i/>
      <w:iCs/>
      <w:color w:val="0F4761" w:themeColor="accent1" w:themeShade="BF"/>
    </w:rPr>
  </w:style>
  <w:style w:type="character" w:styleId="Referenciaintensa">
    <w:name w:val="Intense Reference"/>
    <w:basedOn w:val="Fuentedeprrafopredeter"/>
    <w:uiPriority w:val="32"/>
    <w:qFormat/>
    <w:rsid w:val="00C441A7"/>
    <w:rPr>
      <w:b/>
      <w:bCs/>
      <w:smallCaps/>
      <w:color w:val="0F4761" w:themeColor="accent1" w:themeShade="BF"/>
      <w:spacing w:val="5"/>
    </w:rPr>
  </w:style>
  <w:style w:type="character" w:styleId="Hipervnculo">
    <w:name w:val="Hyperlink"/>
    <w:basedOn w:val="Fuentedeprrafopredeter"/>
    <w:uiPriority w:val="99"/>
    <w:unhideWhenUsed/>
    <w:rsid w:val="00261E58"/>
    <w:rPr>
      <w:color w:val="467886" w:themeColor="hyperlink"/>
      <w:u w:val="single"/>
    </w:rPr>
  </w:style>
  <w:style w:type="character" w:styleId="Mencinsinresolver">
    <w:name w:val="Unresolved Mention"/>
    <w:basedOn w:val="Fuentedeprrafopredeter"/>
    <w:uiPriority w:val="99"/>
    <w:semiHidden/>
    <w:unhideWhenUsed/>
    <w:rsid w:val="00261E58"/>
    <w:rPr>
      <w:color w:val="605E5C"/>
      <w:shd w:val="clear" w:color="auto" w:fill="E1DFDD"/>
    </w:rPr>
  </w:style>
  <w:style w:type="paragraph" w:styleId="NormalWeb">
    <w:name w:val="Normal (Web)"/>
    <w:basedOn w:val="Normal"/>
    <w:uiPriority w:val="99"/>
    <w:semiHidden/>
    <w:unhideWhenUsed/>
    <w:rsid w:val="001C0399"/>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Sinespaciado">
    <w:name w:val="No Spacing"/>
    <w:uiPriority w:val="1"/>
    <w:qFormat/>
    <w:rsid w:val="00F347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4</Pages>
  <Words>2100</Words>
  <Characters>11553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Deibi Bastidas Cerón</dc:creator>
  <cp:keywords/>
  <dc:description/>
  <cp:lastModifiedBy>Ing. Deibi Bastidas Cerón</cp:lastModifiedBy>
  <cp:revision>9</cp:revision>
  <dcterms:created xsi:type="dcterms:W3CDTF">2025-11-25T01:29:00Z</dcterms:created>
  <dcterms:modified xsi:type="dcterms:W3CDTF">2025-11-26T22:36:00Z</dcterms:modified>
</cp:coreProperties>
</file>