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/>
        <w:jc w:val="center"/>
      </w:pPr>
      <w:r>
        <w:rPr>
          <w:b/>
          <w:bCs/>
          <w:color w:val="1F4E79"/>
          <w:sz w:val="54"/>
          <w:szCs w:val="54"/>
        </w:rPr>
        <w:t xml:space="preserve">Peyman Jahanbin</w:t>
      </w:r>
    </w:p>
    <w:p>
      <w:pPr>
        <w:spacing w:before="40" w:after="0"/>
        <w:jc w:val="center"/>
      </w:pPr>
      <w:r>
        <w:rPr>
          <w:sz w:val="22"/>
          <w:szCs w:val="22"/>
        </w:rPr>
        <w:t xml:space="preserve">Curriculum &amp; Instruction (TESOL)  |  Language Assessment  |  AI in Education</w:t>
      </w:r>
    </w:p>
    <w:p>
      <w:pPr>
        <w:spacing w:before="20" w:after="200"/>
        <w:jc w:val="center"/>
      </w:pPr>
      <w:hyperlink r:id="rIdL1" w:history="1">
        <w:r>
          <w:rPr>
            <w:color w:val="5C6975"/>
            <w:sz w:val="20"/>
            <w:szCs w:val="20"/>
          </w:rPr>
          <w:t xml:space="preserve">Peyman@KU.edu</w:t>
        </w:r>
      </w:hyperlink>
      <w:r>
        <w:rPr>
          <w:color w:val="5C6975"/>
          <w:sz w:val="20"/>
          <w:szCs w:val="20"/>
        </w:rPr>
        <w:t xml:space="preserve">   |   </w:t>
      </w:r>
      <w:r>
        <w:rPr>
          <w:color w:val="5C6975"/>
          <w:sz w:val="20"/>
          <w:szCs w:val="20"/>
        </w:rPr>
        <w:t xml:space="preserve">Lawrence, Kansas</w:t>
      </w:r>
      <w:r>
        <w:rPr>
          <w:color w:val="5C6975"/>
          <w:sz w:val="20"/>
          <w:szCs w:val="20"/>
        </w:rPr>
        <w:t xml:space="preserve">   |   </w:t>
      </w:r>
      <w:hyperlink r:id="rIdL2" w:history="1">
        <w:r>
          <w:rPr>
            <w:color w:val="5C6975"/>
            <w:sz w:val="20"/>
            <w:szCs w:val="20"/>
          </w:rPr>
          <w:t xml:space="preserve">LinkedIn/JPeyman</w:t>
        </w:r>
      </w:hyperlink>
      <w:r>
        <w:rPr>
          <w:color w:val="5C6975"/>
          <w:sz w:val="20"/>
          <w:szCs w:val="20"/>
        </w:rPr>
        <w:t xml:space="preserve">   |   </w:t>
      </w:r>
      <w:hyperlink r:id="rIdL3" w:history="1">
        <w:r>
          <w:rPr>
            <w:color w:val="5C6975"/>
            <w:sz w:val="20"/>
            <w:szCs w:val="20"/>
          </w:rPr>
          <w:t xml:space="preserve">Google Scholar</w:t>
        </w:r>
      </w:hyperlink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Research Interests</w:t>
      </w:r>
    </w:p>
    <w:p>
      <w:pPr>
        <w:spacing w:before="0" w:after="100"/>
      </w:pPr>
      <w:r>
        <w:rPr>
          <w:sz w:val="20"/>
          <w:szCs w:val="20"/>
        </w:rPr>
        <w:t xml:space="preserve">Language assessment; automated speaking assessment; validity and fairness; responsible AI in education; explainable machine learning; L2 pronunciation; multilingual education and policy; Seal of Biliteracy; quantitative and mixed-methods educational research.</w:t>
      </w:r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Education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Ph.D. in Curriculum &amp; Instruction, TESOL Emphasis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September 2023-Present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University of Kansas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Lawrence, KS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Coursework completed; expected advancement to doctoral candidacy in October 2026. Dissertation focus: validity and fairness in automated speaking assessment.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Graduate Certificate in Second Language Studies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May 2026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spacing w:before="0" w:after="10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University of Kansas</w:t>
            </w:r>
          </w:p>
        </w:tc>
        <w:tc>
          <w:tcPr>
            <w:tcW w:w="3566" w:type="dxa"/>
          </w:tcPr>
          <w:p>
            <w:pPr>
              <w:spacing w:before="0" w:after="10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/>
            </w:r>
          </w:p>
        </w:tc>
      </w:tr>
    </w:tbl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M.A. in Teaching English as a Foreign Language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September 2020-December 2022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Shahid Beheshti University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Tehran, Iran</w:t>
            </w:r>
          </w:p>
        </w:tc>
      </w:tr>
    </w:tbl>
    <w:p>
      <w:pPr>
        <w:keepLines/>
        <w:spacing w:before="20" w:after="100"/>
      </w:pPr>
      <w:r>
        <w:rPr>
          <w:i/>
          <w:iCs/>
          <w:sz w:val="20"/>
          <w:szCs w:val="20"/>
        </w:rPr>
        <w:t xml:space="preserve">Thesis: Investigating the Effect of Audio-Assisted Reading on Incidental Learning of a Grammatical Structure Among Iranian EFL Learners.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B.A. in English Language &amp; Literature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September 2016-July 2019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spacing w:before="0" w:after="10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University of Isfahan</w:t>
            </w:r>
          </w:p>
        </w:tc>
        <w:tc>
          <w:tcPr>
            <w:tcW w:w="3566" w:type="dxa"/>
          </w:tcPr>
          <w:p>
            <w:pPr>
              <w:spacing w:before="0" w:after="10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Isfahan, Iran</w:t>
            </w:r>
          </w:p>
        </w:tc>
      </w:tr>
    </w:tbl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Academic Appointments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Instructor of Record &amp; Graduate Teaching Assistant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2023-Present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Department of Curriculum &amp; Teaching, University of Kansas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Lawrence, KS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Instructor of record for undergraduate and graduate courses in TESOL methods, language assessment, practicum, multilingual learner instruction, and teacher education.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Graduate Research Assistant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May 2025-August 2026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Center for Educational Opportunity Programs, University of Kansas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Lawrence, KS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Conducted research synthesis and policy analysis on Seal of Biliteracy implementation, equity, outcomes, and external recognition. Project SELILLA: $2.44 million federally funded project.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English as a Foreign Language (EFL) Instructor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2018-2022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University of Isfahan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Isfahan, Iran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Taught general English to undergraduate and graduate students; approximately 250 instructional hours.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English as a Foreign Language (EFL) Instructor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2014-2018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spacing w:before="0" w:after="10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Kish English Institute</w:t>
            </w:r>
          </w:p>
        </w:tc>
        <w:tc>
          <w:tcPr>
            <w:tcW w:w="3566" w:type="dxa"/>
          </w:tcPr>
          <w:p>
            <w:pPr>
              <w:spacing w:before="0" w:after="10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Sabzevar, Iran</w:t>
            </w:r>
          </w:p>
        </w:tc>
      </w:tr>
    </w:tbl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Peer-Reviewed Publications &amp; Accepted Manuscripts</w:t>
      </w:r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Beyond Symbolic Recognition: Examining Access, Fidelity, and Student Outcomes in the Seal of Biliteracy</w:t>
      </w:r>
    </w:p>
    <w:p>
      <w:pPr>
        <w:keepNext/>
        <w:spacing w:before="20" w:after="0"/>
      </w:pPr>
      <w:r>
        <w:rPr>
          <w:b/>
          <w:bCs/>
          <w:sz w:val="20"/>
          <w:szCs w:val="20"/>
        </w:rPr>
        <w:t xml:space="preserve">Peyman Jahanbin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Adam M. Brazil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Sarah C. Swyers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Meghan Ecker-Lyster</w:t>
      </w:r>
      <w:r>
        <w:rPr>
          <w:sz w:val="20"/>
          <w:szCs w:val="20"/>
        </w:rPr>
        <w:t xml:space="preserve">, &amp; </w:t>
      </w:r>
      <w:r>
        <w:rPr>
          <w:sz w:val="20"/>
          <w:szCs w:val="20"/>
        </w:rPr>
        <w:t xml:space="preserve">Michael Klein-Thibodeau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TESOL Quarterly</w:t>
      </w:r>
      <w:r>
        <w:rPr>
          <w:color w:val="5C6975"/>
          <w:sz w:val="19"/>
          <w:szCs w:val="19"/>
        </w:rPr>
        <w:t xml:space="preserve">. 2026</w:t>
      </w:r>
      <w:r>
        <w:rPr>
          <w:color w:val="5C6975"/>
          <w:sz w:val="19"/>
          <w:szCs w:val="19"/>
        </w:rPr>
        <w:t xml:space="preserve">. DOI: </w:t>
      </w:r>
      <w:hyperlink r:id="rIdL4" w:history="1">
        <w:r>
          <w:rPr>
            <w:color w:val="1F4E79"/>
            <w:sz w:val="19"/>
            <w:szCs w:val="19"/>
          </w:rPr>
          <w:t xml:space="preserve">10.1002/tesq.70236</w:t>
        </w:r>
      </w:hyperlink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A Linear Logistic Test Model (LLTM) Application in Foreign Language Testing</w:t>
      </w:r>
    </w:p>
    <w:p>
      <w:pPr>
        <w:keepNext/>
        <w:spacing w:before="20" w:after="0"/>
      </w:pPr>
      <w:r>
        <w:rPr>
          <w:sz w:val="20"/>
          <w:szCs w:val="20"/>
        </w:rPr>
        <w:t xml:space="preserve">Jose Fabián Elizondo-González</w:t>
      </w:r>
      <w:r>
        <w:rPr>
          <w:sz w:val="20"/>
          <w:szCs w:val="20"/>
        </w:rPr>
        <w:t xml:space="preserve"> &amp; </w:t>
      </w:r>
      <w:r>
        <w:rPr>
          <w:b/>
          <w:bCs/>
          <w:sz w:val="20"/>
          <w:szCs w:val="20"/>
        </w:rPr>
        <w:t xml:space="preserve">Peyman Jahanbin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Research in Pedagogy, 16(2), 146-166</w:t>
      </w:r>
      <w:r>
        <w:rPr>
          <w:color w:val="5C6975"/>
          <w:sz w:val="19"/>
          <w:szCs w:val="19"/>
        </w:rPr>
        <w:t xml:space="preserve">. 2026</w:t>
      </w:r>
      <w:r>
        <w:rPr>
          <w:color w:val="5C6975"/>
          <w:sz w:val="19"/>
          <w:szCs w:val="19"/>
        </w:rPr>
        <w:t xml:space="preserve">. DOI: </w:t>
      </w:r>
      <w:hyperlink r:id="rIdL5" w:history="1">
        <w:r>
          <w:rPr>
            <w:color w:val="1F4E79"/>
            <w:sz w:val="19"/>
            <w:szCs w:val="19"/>
          </w:rPr>
          <w:t xml:space="preserve">10.5937/IstrPed2602146F</w:t>
        </w:r>
      </w:hyperlink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An Analysis of Dyadic Interactional Patterns in Peer Reviewing Tasks in an ESL Language Classroom at a Malaysian Higher Educational Institute</w:t>
      </w:r>
    </w:p>
    <w:p>
      <w:pPr>
        <w:keepNext/>
        <w:spacing w:before="20" w:after="0"/>
      </w:pPr>
      <w:r>
        <w:rPr>
          <w:sz w:val="20"/>
          <w:szCs w:val="20"/>
        </w:rPr>
        <w:t xml:space="preserve">Paramasivam Muthusamy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Atieh Farashaiyan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Rabindra Dev Prasad</w:t>
      </w:r>
      <w:r>
        <w:rPr>
          <w:sz w:val="20"/>
          <w:szCs w:val="20"/>
        </w:rPr>
        <w:t xml:space="preserve">, </w:t>
      </w:r>
      <w:r>
        <w:rPr>
          <w:b/>
          <w:bCs/>
          <w:sz w:val="20"/>
          <w:szCs w:val="20"/>
        </w:rPr>
        <w:t xml:space="preserve">Peyman Jahanbin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Ananthi Pattanimuthu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Hamsavathi A/P Ramalingam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Fan Qihang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Wang Jing</w:t>
      </w:r>
      <w:r>
        <w:rPr>
          <w:sz w:val="20"/>
          <w:szCs w:val="20"/>
        </w:rPr>
        <w:t xml:space="preserve">, &amp; </w:t>
      </w:r>
      <w:r>
        <w:rPr>
          <w:sz w:val="20"/>
          <w:szCs w:val="20"/>
        </w:rPr>
        <w:t xml:space="preserve">Zhang Xiaoling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International Journal of Special Education, 41(6s), 1102-1114</w:t>
      </w:r>
      <w:r>
        <w:rPr>
          <w:color w:val="5C6975"/>
          <w:sz w:val="19"/>
          <w:szCs w:val="19"/>
        </w:rPr>
        <w:t xml:space="preserve">. 2026</w:t>
      </w:r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A Comparative Corpus-driven Analysis of Criticism in Book Reviews on Academic Discourse</w:t>
      </w:r>
    </w:p>
    <w:p>
      <w:pPr>
        <w:keepNext/>
        <w:spacing w:before="20" w:after="0"/>
      </w:pPr>
      <w:r>
        <w:rPr>
          <w:sz w:val="20"/>
          <w:szCs w:val="20"/>
        </w:rPr>
        <w:t xml:space="preserve">Atieh Farashaiyan</w:t>
      </w:r>
      <w:r>
        <w:rPr>
          <w:sz w:val="20"/>
          <w:szCs w:val="20"/>
        </w:rPr>
        <w:t xml:space="preserve">, </w:t>
      </w:r>
      <w:r>
        <w:rPr>
          <w:b/>
          <w:bCs/>
          <w:sz w:val="20"/>
          <w:szCs w:val="20"/>
        </w:rPr>
        <w:t xml:space="preserve">Peyman Jahanbin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Malarvizhi Sinayah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Thanalachime Perumal</w:t>
      </w:r>
      <w:r>
        <w:rPr>
          <w:sz w:val="20"/>
          <w:szCs w:val="20"/>
        </w:rPr>
        <w:t xml:space="preserve">, &amp; </w:t>
      </w:r>
      <w:r>
        <w:rPr>
          <w:sz w:val="20"/>
          <w:szCs w:val="20"/>
        </w:rPr>
        <w:t xml:space="preserve">Selvajothi Ramalingam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Corpus Pragmatics, 9(3), 269-291</w:t>
      </w:r>
      <w:r>
        <w:rPr>
          <w:color w:val="5C6975"/>
          <w:sz w:val="19"/>
          <w:szCs w:val="19"/>
        </w:rPr>
        <w:t xml:space="preserve">. 2025</w:t>
      </w:r>
      <w:r>
        <w:rPr>
          <w:color w:val="5C6975"/>
          <w:sz w:val="19"/>
          <w:szCs w:val="19"/>
        </w:rPr>
        <w:t xml:space="preserve">. DOI: </w:t>
      </w:r>
      <w:hyperlink r:id="rIdL6" w:history="1">
        <w:r>
          <w:rPr>
            <w:color w:val="1F4E79"/>
            <w:sz w:val="19"/>
            <w:szCs w:val="19"/>
          </w:rPr>
          <w:t xml:space="preserve">10.1007/s41701-025-00190-9</w:t>
        </w:r>
      </w:hyperlink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The Effect of Personality Types on ESL University Lecturers’ Creativity in Using Instructional Techniques for Online Education in Malaysian Higher Education Institutes</w:t>
      </w:r>
    </w:p>
    <w:p>
      <w:pPr>
        <w:keepNext/>
        <w:spacing w:before="20" w:after="0"/>
      </w:pPr>
      <w:r>
        <w:rPr>
          <w:sz w:val="20"/>
          <w:szCs w:val="20"/>
        </w:rPr>
        <w:t xml:space="preserve">Paramasivam Muthusamy</w:t>
      </w:r>
      <w:r>
        <w:rPr>
          <w:sz w:val="20"/>
          <w:szCs w:val="20"/>
        </w:rPr>
        <w:t xml:space="preserve">, </w:t>
      </w:r>
      <w:r>
        <w:rPr>
          <w:b/>
          <w:bCs/>
          <w:sz w:val="20"/>
          <w:szCs w:val="20"/>
        </w:rPr>
        <w:t xml:space="preserve">Peyman Jahanbin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Atieh Farashaiyan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Thanalachime Perumal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Kumutha Raman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Sun Chen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Du Junying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Qiao Mu</w:t>
      </w:r>
      <w:r>
        <w:rPr>
          <w:sz w:val="20"/>
          <w:szCs w:val="20"/>
        </w:rPr>
        <w:t xml:space="preserve">, &amp; </w:t>
      </w:r>
      <w:r>
        <w:rPr>
          <w:sz w:val="20"/>
          <w:szCs w:val="20"/>
        </w:rPr>
        <w:t xml:space="preserve">Li Jiao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Journal of Information Systems Engineering and Management, 10(48s), 533-544</w:t>
      </w:r>
      <w:r>
        <w:rPr>
          <w:color w:val="5C6975"/>
          <w:sz w:val="19"/>
          <w:szCs w:val="19"/>
        </w:rPr>
        <w:t xml:space="preserve">. 2025</w:t>
      </w:r>
      <w:r>
        <w:rPr>
          <w:color w:val="5C6975"/>
          <w:sz w:val="19"/>
          <w:szCs w:val="19"/>
        </w:rPr>
        <w:t xml:space="preserve">. DOI: </w:t>
      </w:r>
      <w:hyperlink r:id="rIdL7" w:history="1">
        <w:r>
          <w:rPr>
            <w:color w:val="1F4E79"/>
            <w:sz w:val="19"/>
            <w:szCs w:val="19"/>
          </w:rPr>
          <w:t xml:space="preserve">10.52783/jisem.v10i48s.9574</w:t>
        </w:r>
      </w:hyperlink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An Investigation of Students’ English Achievements and Its Implications for Curriculum Amelioration in Malaysian Higher Education Institutions</w:t>
      </w:r>
    </w:p>
    <w:p>
      <w:pPr>
        <w:keepNext/>
        <w:spacing w:before="20" w:after="0"/>
      </w:pPr>
      <w:r>
        <w:rPr>
          <w:sz w:val="20"/>
          <w:szCs w:val="20"/>
        </w:rPr>
        <w:t xml:space="preserve">Paramasivam Muthusamy</w:t>
      </w:r>
      <w:r>
        <w:rPr>
          <w:sz w:val="20"/>
          <w:szCs w:val="20"/>
        </w:rPr>
        <w:t xml:space="preserve">, </w:t>
      </w:r>
      <w:r>
        <w:rPr>
          <w:b/>
          <w:bCs/>
          <w:sz w:val="20"/>
          <w:szCs w:val="20"/>
        </w:rPr>
        <w:t xml:space="preserve">Peyman Jahanbin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Du Junying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Qiao Mu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Xiang Xueyan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Hamsavathi A/P Ramalingam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Wang Xibing</w:t>
      </w:r>
      <w:r>
        <w:rPr>
          <w:sz w:val="20"/>
          <w:szCs w:val="20"/>
        </w:rPr>
        <w:t xml:space="preserve">, &amp; </w:t>
      </w:r>
      <w:r>
        <w:rPr>
          <w:sz w:val="20"/>
          <w:szCs w:val="20"/>
        </w:rPr>
        <w:t xml:space="preserve">Atieh Farashaiyan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Journal of Information Systems Engineering and Management, 10(48s), 545-559</w:t>
      </w:r>
      <w:r>
        <w:rPr>
          <w:color w:val="5C6975"/>
          <w:sz w:val="19"/>
          <w:szCs w:val="19"/>
        </w:rPr>
        <w:t xml:space="preserve">. 2025</w:t>
      </w:r>
      <w:r>
        <w:rPr>
          <w:color w:val="5C6975"/>
          <w:sz w:val="19"/>
          <w:szCs w:val="19"/>
        </w:rPr>
        <w:t xml:space="preserve">. DOI: </w:t>
      </w:r>
      <w:hyperlink r:id="rIdL8" w:history="1">
        <w:r>
          <w:rPr>
            <w:color w:val="1F4E79"/>
            <w:sz w:val="19"/>
            <w:szCs w:val="19"/>
          </w:rPr>
          <w:t xml:space="preserve">10.52783/jisem.v10i48s.9576</w:t>
        </w:r>
      </w:hyperlink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The Effect of Audio-Assisted Reading on Incidental Learning of Present Perfect by EFL Learners</w:t>
      </w:r>
    </w:p>
    <w:p>
      <w:pPr>
        <w:keepNext/>
        <w:spacing w:before="20" w:after="0"/>
      </w:pPr>
      <w:r>
        <w:rPr>
          <w:sz w:val="20"/>
          <w:szCs w:val="20"/>
        </w:rPr>
        <w:t xml:space="preserve">Musa Nushi</w:t>
      </w:r>
      <w:r>
        <w:rPr>
          <w:sz w:val="20"/>
          <w:szCs w:val="20"/>
        </w:rPr>
        <w:t xml:space="preserve"> &amp; </w:t>
      </w:r>
      <w:r>
        <w:rPr>
          <w:b/>
          <w:bCs/>
          <w:sz w:val="20"/>
          <w:szCs w:val="20"/>
        </w:rPr>
        <w:t xml:space="preserve">Peyman Jahanbin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Open Education Studies, 6(1), 20240043</w:t>
      </w:r>
      <w:r>
        <w:rPr>
          <w:color w:val="5C6975"/>
          <w:sz w:val="19"/>
          <w:szCs w:val="19"/>
        </w:rPr>
        <w:t xml:space="preserve">. 2024</w:t>
      </w:r>
      <w:r>
        <w:rPr>
          <w:color w:val="5C6975"/>
          <w:sz w:val="19"/>
          <w:szCs w:val="19"/>
        </w:rPr>
        <w:t xml:space="preserve">. DOI: </w:t>
      </w:r>
      <w:hyperlink r:id="rIdL9" w:history="1">
        <w:r>
          <w:rPr>
            <w:color w:val="1F4E79"/>
            <w:sz w:val="19"/>
            <w:szCs w:val="19"/>
          </w:rPr>
          <w:t xml:space="preserve">10.1515/edu-2024-0043</w:t>
        </w:r>
      </w:hyperlink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Manuscripts in Review / Editorial Processing</w:t>
      </w:r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“The Accent Hides the Knowledge”: Raciolinguistic Gatekeeping and Algorithmic Suspicion of Middle Eastern Graduate Teaching Assistants in U.S. Higher Education</w:t>
      </w:r>
    </w:p>
    <w:p>
      <w:pPr>
        <w:keepNext/>
        <w:spacing w:before="20" w:after="0"/>
      </w:pPr>
      <w:r>
        <w:rPr>
          <w:b/>
          <w:bCs/>
          <w:sz w:val="20"/>
          <w:szCs w:val="20"/>
        </w:rPr>
        <w:t xml:space="preserve">Peyman Jahanbin</w:t>
      </w:r>
      <w:r>
        <w:rPr>
          <w:sz w:val="20"/>
          <w:szCs w:val="20"/>
        </w:rPr>
        <w:t xml:space="preserve"> &amp; </w:t>
      </w:r>
      <w:r>
        <w:rPr>
          <w:sz w:val="20"/>
          <w:szCs w:val="20"/>
        </w:rPr>
        <w:t xml:space="preserve">Hyesun Cho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Journal of Language, Identity &amp; Education</w:t>
      </w:r>
      <w:r>
        <w:rPr>
          <w:color w:val="5C6975"/>
          <w:sz w:val="19"/>
          <w:szCs w:val="19"/>
        </w:rPr>
        <w:t xml:space="preserve">. Revised (minor revisions) after peer review; currently out for review</w:t>
      </w:r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Acoustic Gap Placement in Fixed-Passage Read Speech: A Comparison of Mandarin-L1 and American English-L1 Speakers</w:t>
      </w:r>
    </w:p>
    <w:p>
      <w:pPr>
        <w:keepNext/>
        <w:spacing w:before="20" w:after="0"/>
      </w:pPr>
      <w:r>
        <w:rPr>
          <w:b/>
          <w:bCs/>
          <w:sz w:val="20"/>
          <w:szCs w:val="20"/>
        </w:rPr>
        <w:t xml:space="preserve">Peyman Jahanbin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PLOS ONE</w:t>
      </w:r>
      <w:r>
        <w:rPr>
          <w:color w:val="5C6975"/>
          <w:sz w:val="19"/>
          <w:szCs w:val="19"/>
        </w:rPr>
        <w:t xml:space="preserve">. Submitted August 30, 2026; Currently in editorial processing</w:t>
      </w:r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Preprints &amp; Reproducible Research</w:t>
      </w:r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Modeling L1 Influence on L2 Pronunciation: An MFCC-Based Framework for Explainable Machine Learning and Pedagogical Feedback</w:t>
      </w:r>
    </w:p>
    <w:p>
      <w:pPr>
        <w:keepNext/>
        <w:spacing w:before="20" w:after="0"/>
      </w:pPr>
      <w:r>
        <w:rPr>
          <w:b/>
          <w:bCs/>
          <w:sz w:val="20"/>
          <w:szCs w:val="20"/>
        </w:rPr>
        <w:t xml:space="preserve">Peyman Jahanbin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arXiv</w:t>
      </w:r>
      <w:r>
        <w:rPr>
          <w:color w:val="5C6975"/>
          <w:sz w:val="19"/>
          <w:szCs w:val="19"/>
        </w:rPr>
        <w:t xml:space="preserve">. 2025; Preprint</w:t>
      </w:r>
      <w:r>
        <w:rPr>
          <w:color w:val="5C6975"/>
          <w:sz w:val="19"/>
          <w:szCs w:val="19"/>
        </w:rPr>
        <w:t xml:space="preserve">. DOI: </w:t>
      </w:r>
      <w:hyperlink r:id="rIdL10" w:history="1">
        <w:r>
          <w:rPr>
            <w:color w:val="1F4E79"/>
            <w:sz w:val="19"/>
            <w:szCs w:val="19"/>
          </w:rPr>
          <w:t xml:space="preserve">10.48550/arXiv.2504.13765</w:t>
        </w:r>
      </w:hyperlink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MFCC-Based Modeling of L1 Influence in L2 English Pronunciation: A Reproducible Methodological Pipeline</w:t>
      </w:r>
    </w:p>
    <w:p>
      <w:pPr>
        <w:keepNext/>
        <w:spacing w:before="20" w:after="0"/>
      </w:pPr>
      <w:r>
        <w:rPr>
          <w:b/>
          <w:bCs/>
          <w:sz w:val="20"/>
          <w:szCs w:val="20"/>
        </w:rPr>
        <w:t xml:space="preserve">Peyman Jahanbin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Research Square</w:t>
      </w:r>
      <w:r>
        <w:rPr>
          <w:color w:val="5C6975"/>
          <w:sz w:val="19"/>
          <w:szCs w:val="19"/>
        </w:rPr>
        <w:t xml:space="preserve">. 2025; Methodological preprint</w:t>
      </w:r>
      <w:r>
        <w:rPr>
          <w:color w:val="5C6975"/>
          <w:sz w:val="19"/>
          <w:szCs w:val="19"/>
        </w:rPr>
        <w:t xml:space="preserve">. DOI: </w:t>
      </w:r>
      <w:hyperlink r:id="rIdL11" w:history="1">
        <w:r>
          <w:rPr>
            <w:color w:val="1F4E79"/>
            <w:sz w:val="19"/>
            <w:szCs w:val="19"/>
          </w:rPr>
          <w:t xml:space="preserve">10.21203/rs.3.rs-7032497/v1</w:t>
        </w:r>
      </w:hyperlink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A Reproducible MFCC-Based Pipeline for L1 Classification in L2 English Pronunciation Using Python</w:t>
      </w:r>
    </w:p>
    <w:p>
      <w:pPr>
        <w:keepNext/>
        <w:spacing w:before="20" w:after="0"/>
      </w:pPr>
      <w:r>
        <w:rPr>
          <w:b/>
          <w:bCs/>
          <w:sz w:val="20"/>
          <w:szCs w:val="20"/>
        </w:rPr>
        <w:t xml:space="preserve">Peyman Jahanbin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Reproducible research artifact</w:t>
      </w:r>
      <w:r>
        <w:rPr>
          <w:color w:val="5C6975"/>
          <w:sz w:val="19"/>
          <w:szCs w:val="19"/>
        </w:rPr>
        <w:t xml:space="preserve">. 2025</w:t>
      </w:r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Research Projects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Dissertation: Validity and Fairness of Automated Speaking Assessment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2026-Present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University of Kansas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/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Examines agreement and meaningful disagreement between human audio ratings and transcript-based automated speaking scores in the Cambridge Speak &amp; Improve corpus, with emphasis on decision risk and predictors of discrepancy.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Explainable Machine Learning for L2 Pronunciation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2025-Present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Develops interpretable MFCC-based models of L1 influence in L2 pronunciation and reproducible workflows for feedback.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Seal of Biliteracy Policy, Equity, and Recognition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2025-Present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Examines implementation, equitable access, assessment pathways, postsecondary recognition, and real-world value of the Seal of Biliteracy.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English Learner Visibility in Kansas Public Reporting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2026-Present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Examines district-level English learner result reporting, subgroup visibility, and how cohort size shapes public reporting gaps.</w:t>
      </w:r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Teaching Experience</w:t>
      </w:r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University of Kansas, Department of Curriculum &amp; Teaching</w:t>
      </w:r>
    </w:p>
    <w:p>
      <w:pPr>
        <w:keepNext/>
        <w:spacing w:before="0" w:after="60"/>
      </w:pPr>
      <w:r>
        <w:rPr>
          <w:i/>
          <w:iCs/>
          <w:color w:val="5C6975"/>
          <w:sz w:val="19"/>
          <w:szCs w:val="19"/>
        </w:rPr>
        <w:t xml:space="preserve">Instructor of Record (primary instructor) for seven distinct KU courses across 16 teaching assignments, 2023-2026.</w:t>
      </w:r>
    </w:p>
    <w:p>
      <w:pPr>
        <w:keepNext/>
        <w:spacing w:before="160" w:after="60"/>
      </w:pPr>
      <w:r>
        <w:rPr>
          <w:b/>
          <w:bCs/>
          <w:caps/>
          <w:color w:val="1F4E79"/>
          <w:sz w:val="21"/>
          <w:szCs w:val="21"/>
        </w:rPr>
        <w:t xml:space="preserve">Graduate Courses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7000"/>
        <w:gridCol w:w="3166"/>
      </w:tblGrid>
      <w:tr>
        <w:trPr>
          <w:cantSplit/>
        </w:trPr>
        <w:tc>
          <w:tcPr>
            <w:tcW w:w="7000" w:type="dxa"/>
          </w:tcPr>
          <w:p>
            <w:pPr>
              <w:keepNext/>
              <w:spacing w:before="0" w:after="60"/>
            </w:pPr>
            <w:r>
              <w:rPr>
                <w:b/>
                <w:bCs/>
                <w:sz w:val="20"/>
                <w:szCs w:val="20"/>
              </w:rPr>
              <w:t xml:space="preserve">C&amp;T 820 Teaching English as a Second Language/Bilingual Education</w:t>
            </w:r>
          </w:p>
        </w:tc>
        <w:tc>
          <w:tcPr>
            <w:tcW w:w="3166" w:type="dxa"/>
          </w:tcPr>
          <w:p>
            <w:pPr>
              <w:keepNext/>
              <w:spacing w:before="0" w:after="60"/>
              <w:jc w:val="right"/>
            </w:pPr>
            <w:r>
              <w:rPr>
                <w:color w:val="5C6975"/>
                <w:sz w:val="20"/>
                <w:szCs w:val="20"/>
              </w:rPr>
              <w:t xml:space="preserve">Fall 2026</w:t>
            </w:r>
          </w:p>
        </w:tc>
      </w:tr>
      <w:tr>
        <w:trPr>
          <w:cantSplit/>
        </w:trPr>
        <w:tc>
          <w:tcPr>
            <w:tcW w:w="7000" w:type="dxa"/>
          </w:tcPr>
          <w:p>
            <w:pPr>
              <w:keepNext/>
              <w:spacing w:before="0" w:after="60"/>
            </w:pPr>
            <w:r>
              <w:rPr>
                <w:b/>
                <w:bCs/>
                <w:sz w:val="20"/>
                <w:szCs w:val="20"/>
              </w:rPr>
              <w:t xml:space="preserve">C&amp;T 821 Assessment in Teaching English to Speakers of Other Languages (TESOL)</w:t>
            </w:r>
          </w:p>
        </w:tc>
        <w:tc>
          <w:tcPr>
            <w:tcW w:w="3166" w:type="dxa"/>
          </w:tcPr>
          <w:p>
            <w:pPr>
              <w:keepNext/>
              <w:spacing w:before="0" w:after="60"/>
              <w:jc w:val="right"/>
            </w:pPr>
            <w:r>
              <w:rPr>
                <w:color w:val="5C6975"/>
                <w:sz w:val="20"/>
                <w:szCs w:val="20"/>
              </w:rPr>
              <w:t xml:space="preserve">Fall 2024</w:t>
            </w:r>
          </w:p>
        </w:tc>
      </w:tr>
      <w:tr>
        <w:trPr>
          <w:cantSplit/>
        </w:trPr>
        <w:tc>
          <w:tcPr>
            <w:tcW w:w="7000" w:type="dxa"/>
          </w:tcPr>
          <w:p>
            <w:pPr>
              <w:spacing w:before="0" w:after="60"/>
            </w:pPr>
            <w:r>
              <w:rPr>
                <w:b/>
                <w:bCs/>
                <w:sz w:val="20"/>
                <w:szCs w:val="20"/>
              </w:rPr>
              <w:t xml:space="preserve">C&amp;T 825 Advanced Practicum in Teaching English to Speakers of Other Languages (TESOL)</w:t>
            </w:r>
          </w:p>
        </w:tc>
        <w:tc>
          <w:tcPr>
            <w:tcW w:w="3166" w:type="dxa"/>
          </w:tcPr>
          <w:p>
            <w:pPr>
              <w:spacing w:before="0" w:after="60"/>
              <w:jc w:val="right"/>
            </w:pPr>
            <w:r>
              <w:rPr>
                <w:color w:val="5C6975"/>
                <w:sz w:val="20"/>
                <w:szCs w:val="20"/>
              </w:rPr>
              <w:t xml:space="preserve">Fall 2025; Spring 2026</w:t>
            </w:r>
          </w:p>
        </w:tc>
      </w:tr>
    </w:tbl>
    <w:p>
      <w:pPr>
        <w:keepNext/>
        <w:spacing w:before="160" w:after="60"/>
      </w:pPr>
      <w:r>
        <w:rPr>
          <w:b/>
          <w:bCs/>
          <w:caps/>
          <w:color w:val="1F4E79"/>
          <w:sz w:val="21"/>
          <w:szCs w:val="21"/>
        </w:rPr>
        <w:t xml:space="preserve">Undergraduate Courses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7000"/>
        <w:gridCol w:w="3166"/>
      </w:tblGrid>
      <w:tr>
        <w:trPr>
          <w:cantSplit/>
        </w:trPr>
        <w:tc>
          <w:tcPr>
            <w:tcW w:w="7000" w:type="dxa"/>
          </w:tcPr>
          <w:p>
            <w:pPr>
              <w:keepNext/>
              <w:spacing w:before="0" w:after="60"/>
            </w:pPr>
            <w:r>
              <w:rPr>
                <w:b/>
                <w:bCs/>
                <w:sz w:val="20"/>
                <w:szCs w:val="20"/>
              </w:rPr>
              <w:t xml:space="preserve">C&amp;T 330 Instructional Approaches for ESOL Learners in the Elementary/Early Childhood Classroom</w:t>
            </w:r>
          </w:p>
        </w:tc>
        <w:tc>
          <w:tcPr>
            <w:tcW w:w="3166" w:type="dxa"/>
          </w:tcPr>
          <w:p>
            <w:pPr>
              <w:keepNext/>
              <w:spacing w:before="0" w:after="60"/>
              <w:jc w:val="right"/>
            </w:pPr>
            <w:r>
              <w:rPr>
                <w:color w:val="5C6975"/>
                <w:sz w:val="20"/>
                <w:szCs w:val="20"/>
              </w:rPr>
              <w:t xml:space="preserve">Spring 2024-Fall 2026 (6 terms)</w:t>
            </w:r>
          </w:p>
        </w:tc>
      </w:tr>
      <w:tr>
        <w:trPr>
          <w:cantSplit/>
        </w:trPr>
        <w:tc>
          <w:tcPr>
            <w:tcW w:w="7000" w:type="dxa"/>
          </w:tcPr>
          <w:p>
            <w:pPr>
              <w:keepNext/>
              <w:spacing w:before="0" w:after="60"/>
            </w:pPr>
            <w:r>
              <w:rPr>
                <w:b/>
                <w:bCs/>
                <w:sz w:val="20"/>
                <w:szCs w:val="20"/>
              </w:rPr>
              <w:t xml:space="preserve">C&amp;T 331 Instructional Approaches for ESOL Learners in the Middle/Secondary Classroom</w:t>
            </w:r>
          </w:p>
        </w:tc>
        <w:tc>
          <w:tcPr>
            <w:tcW w:w="3166" w:type="dxa"/>
          </w:tcPr>
          <w:p>
            <w:pPr>
              <w:keepNext/>
              <w:spacing w:before="0" w:after="60"/>
              <w:jc w:val="right"/>
            </w:pPr>
            <w:r>
              <w:rPr>
                <w:color w:val="5C6975"/>
                <w:sz w:val="20"/>
                <w:szCs w:val="20"/>
              </w:rPr>
              <w:t xml:space="preserve">Spring 2025</w:t>
            </w:r>
          </w:p>
        </w:tc>
      </w:tr>
      <w:tr>
        <w:trPr>
          <w:cantSplit/>
        </w:trPr>
        <w:tc>
          <w:tcPr>
            <w:tcW w:w="7000" w:type="dxa"/>
          </w:tcPr>
          <w:p>
            <w:pPr>
              <w:spacing w:before="0" w:after="60"/>
            </w:pPr>
            <w:r>
              <w:rPr>
                <w:b/>
                <w:bCs/>
                <w:sz w:val="20"/>
                <w:szCs w:val="20"/>
              </w:rPr>
              <w:t xml:space="preserve">C&amp;T 423 Assessing English Language Learners</w:t>
            </w:r>
          </w:p>
        </w:tc>
        <w:tc>
          <w:tcPr>
            <w:tcW w:w="3166" w:type="dxa"/>
          </w:tcPr>
          <w:p>
            <w:pPr>
              <w:spacing w:before="0" w:after="60"/>
              <w:jc w:val="right"/>
            </w:pPr>
            <w:r>
              <w:rPr>
                <w:color w:val="5C6975"/>
                <w:sz w:val="20"/>
                <w:szCs w:val="20"/>
              </w:rPr>
              <w:t xml:space="preserve">Summers 2025 &amp; 2026</w:t>
            </w:r>
          </w:p>
        </w:tc>
      </w:tr>
    </w:tbl>
    <w:p>
      <w:pPr>
        <w:keepNext/>
        <w:spacing w:before="160" w:after="60"/>
      </w:pPr>
      <w:r>
        <w:rPr>
          <w:b/>
          <w:bCs/>
          <w:caps/>
          <w:color w:val="1F4E79"/>
          <w:sz w:val="21"/>
          <w:szCs w:val="21"/>
        </w:rPr>
        <w:t xml:space="preserve">Teacher Education Foundations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7000"/>
        <w:gridCol w:w="3166"/>
      </w:tblGrid>
      <w:tr>
        <w:trPr>
          <w:cantSplit/>
        </w:trPr>
        <w:tc>
          <w:tcPr>
            <w:tcW w:w="7000" w:type="dxa"/>
          </w:tcPr>
          <w:p>
            <w:pPr>
              <w:spacing w:before="0" w:after="60"/>
            </w:pPr>
            <w:r>
              <w:rPr>
                <w:b/>
                <w:bCs/>
                <w:sz w:val="20"/>
                <w:szCs w:val="20"/>
              </w:rPr>
              <w:t xml:space="preserve">C&amp;T 235 Cultural Diversity, Equity, and Inclusion in K-12 Schools</w:t>
            </w:r>
          </w:p>
        </w:tc>
        <w:tc>
          <w:tcPr>
            <w:tcW w:w="3166" w:type="dxa"/>
          </w:tcPr>
          <w:p>
            <w:pPr>
              <w:spacing w:before="0" w:after="60"/>
              <w:jc w:val="right"/>
            </w:pPr>
            <w:r>
              <w:rPr>
                <w:color w:val="5C6975"/>
                <w:sz w:val="20"/>
                <w:szCs w:val="20"/>
              </w:rPr>
              <w:t xml:space="preserve">Fall 2023 (2 sections); Spring 2024</w:t>
            </w:r>
          </w:p>
        </w:tc>
      </w:tr>
    </w:tbl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Selected Conference Presentations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Campus Climate Counts: Insights on Institutional Versus Individual Predictors of Academic AI Integrity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April 2026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spacing w:before="0" w:after="10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American Educational Research Association (AERA) Annual Meeting</w:t>
            </w:r>
          </w:p>
        </w:tc>
        <w:tc>
          <w:tcPr>
            <w:tcW w:w="3566" w:type="dxa"/>
          </w:tcPr>
          <w:p>
            <w:pPr>
              <w:spacing w:before="0" w:after="10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Los Angeles, CA</w:t>
            </w:r>
          </w:p>
        </w:tc>
      </w:tr>
    </w:tbl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Machine Learning in the Service of Second Language Learning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October 2025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spacing w:before="0" w:after="10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SCIPIE, University of Oklahoma</w:t>
            </w:r>
          </w:p>
        </w:tc>
        <w:tc>
          <w:tcPr>
            <w:tcW w:w="3566" w:type="dxa"/>
          </w:tcPr>
          <w:p>
            <w:pPr>
              <w:spacing w:before="0" w:after="10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Norman, OK</w:t>
            </w:r>
          </w:p>
        </w:tc>
      </w:tr>
    </w:tbl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EFL Learners Excel: Incidental Grammar Learning through Audio-Assisted Reading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October 2024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spacing w:before="0" w:after="10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MIDTESOL</w:t>
            </w:r>
          </w:p>
        </w:tc>
        <w:tc>
          <w:tcPr>
            <w:tcW w:w="3566" w:type="dxa"/>
          </w:tcPr>
          <w:p>
            <w:pPr>
              <w:spacing w:before="0" w:after="10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Peer Review Service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Ad Hoc Reviewer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2023-2026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15 manuscript reviews documented in Web of Science Researcher Profiles: SAGE Open (12) and Journal of Research on Technology in Education (3).</w:t>
      </w:r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Research Methods &amp; Technical Skills</w:t>
      </w:r>
    </w:p>
    <w:p>
      <w:pPr>
        <w:keepLines/>
        <w:spacing w:before="0" w:after="40"/>
        <w:ind w:left="360" w:hanging="240"/>
      </w:pPr>
      <w:r>
        <w:rPr>
          <w:sz w:val="20"/>
          <w:szCs w:val="20"/>
        </w:rPr>
        <w:t xml:space="preserve">•</w:t>
      </w:r>
      <w:r>
        <w:tab/>
      </w:r>
      <w:r>
        <w:rPr>
          <w:b/>
          <w:bCs/>
          <w:sz w:val="20"/>
          <w:szCs w:val="20"/>
        </w:rPr>
        <w:t xml:space="preserve">Quantitative methods:</w:t>
      </w:r>
      <w:r>
        <w:rPr>
          <w:sz w:val="20"/>
          <w:szCs w:val="20"/>
        </w:rPr>
        <w:t xml:space="preserve"> regression, generalized linear models, multivariate modeling, agreement and error analysis, bootstrap confidence intervals, and multilevel approaches.</w:t>
      </w:r>
    </w:p>
    <w:p>
      <w:pPr>
        <w:keepLines/>
        <w:spacing w:before="0" w:after="40"/>
        <w:ind w:left="360" w:hanging="240"/>
      </w:pPr>
      <w:r>
        <w:rPr>
          <w:sz w:val="20"/>
          <w:szCs w:val="20"/>
        </w:rPr>
        <w:t xml:space="preserve">•</w:t>
      </w:r>
      <w:r>
        <w:tab/>
      </w:r>
      <w:r>
        <w:rPr>
          <w:b/>
          <w:bCs/>
          <w:sz w:val="20"/>
          <w:szCs w:val="20"/>
        </w:rPr>
        <w:t xml:space="preserve">Programming and analysis:</w:t>
      </w:r>
      <w:r>
        <w:rPr>
          <w:sz w:val="20"/>
          <w:szCs w:val="20"/>
        </w:rPr>
        <w:t xml:space="preserve"> R (tidyverse, ggplot2, R Markdown/Quarto), Python, IBM SPSS, and Microsoft Excel.</w:t>
      </w:r>
    </w:p>
    <w:p>
      <w:pPr>
        <w:keepLines/>
        <w:spacing w:before="0" w:after="40"/>
        <w:ind w:left="360" w:hanging="240"/>
      </w:pPr>
      <w:r>
        <w:rPr>
          <w:sz w:val="20"/>
          <w:szCs w:val="20"/>
        </w:rPr>
        <w:t xml:space="preserve">•</w:t>
      </w:r>
      <w:r>
        <w:tab/>
      </w:r>
      <w:r>
        <w:rPr>
          <w:b/>
          <w:bCs/>
          <w:sz w:val="20"/>
          <w:szCs w:val="20"/>
        </w:rPr>
        <w:t xml:space="preserve">Computational language research:</w:t>
      </w:r>
      <w:r>
        <w:rPr>
          <w:sz w:val="20"/>
          <w:szCs w:val="20"/>
        </w:rPr>
        <w:t xml:space="preserve"> automated scoring evaluation, MFCC analysis, explainable machine learning, reproducible workflows, and corpus analysis.</w:t>
      </w:r>
    </w:p>
    <w:p>
      <w:pPr>
        <w:keepLines/>
        <w:spacing w:before="0" w:after="40"/>
        <w:ind w:left="360" w:hanging="240"/>
      </w:pPr>
      <w:r>
        <w:rPr>
          <w:sz w:val="20"/>
          <w:szCs w:val="20"/>
        </w:rPr>
        <w:t xml:space="preserve">•</w:t>
      </w:r>
      <w:r>
        <w:tab/>
      </w:r>
      <w:r>
        <w:rPr>
          <w:b/>
          <w:bCs/>
          <w:sz w:val="20"/>
          <w:szCs w:val="20"/>
        </w:rPr>
        <w:t xml:space="preserve">Qualitative research:</w:t>
      </w:r>
      <w:r>
        <w:rPr>
          <w:sz w:val="20"/>
          <w:szCs w:val="20"/>
        </w:rPr>
        <w:t xml:space="preserve"> interview inquiry, thematic analysis, integrative review, and policy and document analysis.</w:t>
      </w:r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Methodological Training</w:t>
      </w:r>
    </w:p>
    <w:p>
      <w:pPr>
        <w:keepLines/>
        <w:spacing w:before="0" w:after="40"/>
        <w:ind w:left="360" w:hanging="240"/>
      </w:pPr>
      <w:r>
        <w:rPr>
          <w:sz w:val="20"/>
          <w:szCs w:val="20"/>
        </w:rPr>
        <w:t xml:space="preserve">•</w:t>
      </w:r>
      <w:r>
        <w:tab/>
      </w:r>
      <w:r>
        <w:rPr>
          <w:b/>
          <w:bCs/>
          <w:sz w:val="20"/>
          <w:szCs w:val="20"/>
        </w:rPr>
        <w:t xml:space="preserve">Quantitative:</w:t>
      </w:r>
      <w:r>
        <w:rPr>
          <w:sz w:val="20"/>
          <w:szCs w:val="20"/>
        </w:rPr>
        <w:t xml:space="preserve"> EPSY 710 Introductory Statistical Analysis; EPSY 905 Fundamentals of Multivariate Modeling; advanced quantitative methods.</w:t>
      </w:r>
    </w:p>
    <w:p>
      <w:pPr>
        <w:keepLines/>
        <w:spacing w:before="0" w:after="40"/>
        <w:ind w:left="360" w:hanging="240"/>
      </w:pPr>
      <w:r>
        <w:rPr>
          <w:sz w:val="20"/>
          <w:szCs w:val="20"/>
        </w:rPr>
        <w:t xml:space="preserve">•</w:t>
      </w:r>
      <w:r>
        <w:tab/>
      </w:r>
      <w:r>
        <w:rPr>
          <w:b/>
          <w:bCs/>
          <w:sz w:val="20"/>
          <w:szCs w:val="20"/>
        </w:rPr>
        <w:t xml:space="preserve">Qualitative:</w:t>
      </w:r>
      <w:r>
        <w:rPr>
          <w:sz w:val="20"/>
          <w:szCs w:val="20"/>
        </w:rPr>
        <w:t xml:space="preserve"> C&amp;T 808 Qualitative Research: Curriculum Inquiry.</w:t>
      </w:r>
    </w:p>
    <w:p>
      <w:pPr>
        <w:keepLines/>
        <w:spacing w:before="0" w:after="40"/>
        <w:ind w:left="360" w:hanging="240"/>
      </w:pPr>
      <w:r>
        <w:rPr>
          <w:sz w:val="20"/>
          <w:szCs w:val="20"/>
        </w:rPr>
        <w:t xml:space="preserve">•</w:t>
      </w:r>
      <w:r>
        <w:tab/>
      </w:r>
      <w:r>
        <w:rPr>
          <w:b/>
          <w:bCs/>
          <w:sz w:val="20"/>
          <w:szCs w:val="20"/>
        </w:rPr>
        <w:t xml:space="preserve">Research design and teaching:</w:t>
      </w:r>
      <w:r>
        <w:rPr>
          <w:sz w:val="20"/>
          <w:szCs w:val="20"/>
        </w:rPr>
        <w:t xml:space="preserve"> LA&amp;S 720 Introduction to Language Teaching Research; C&amp;T 996 Teaching and Learning in the College Classroom.</w:t>
      </w:r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Academic &amp; Professional Service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Graduate Student Advisory Board Member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2025-2026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spacing w:before="0" w:after="10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School of Education and Human Sciences, University of Kansas</w:t>
            </w:r>
          </w:p>
        </w:tc>
        <w:tc>
          <w:tcPr>
            <w:tcW w:w="3566" w:type="dxa"/>
          </w:tcPr>
          <w:p>
            <w:pPr>
              <w:spacing w:before="0" w:after="10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Lawrence, KS</w:t>
            </w:r>
          </w:p>
        </w:tc>
      </w:tr>
    </w:tbl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Head of English Translation Board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2018-2020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Armenian Ethnography Museum at Vank Cathedral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Isfahan, Iran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Supervised content for a biweekly English-language magazine.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President, Students Scientific Association, Faculty of Foreign Languages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2017-2018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University of Isfahan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Isfahan, Iran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Planned and organized conferences, workshops, and classes, including national and international events.</w:t>
      </w:r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Awards, Scholarships &amp; Honors</w:t>
      </w:r>
    </w:p>
    <w:p>
      <w:pPr>
        <w:keepLines/>
        <w:spacing w:before="0" w:after="20"/>
      </w:pPr>
      <w:r>
        <w:rPr>
          <w:b/>
          <w:bCs/>
          <w:sz w:val="20"/>
          <w:szCs w:val="20"/>
        </w:rPr>
        <w:t xml:space="preserve">School of Education Recognition Scholarship</w:t>
      </w:r>
      <w:r>
        <w:rPr>
          <w:sz w:val="20"/>
          <w:szCs w:val="20"/>
        </w:rPr>
        <w:t xml:space="preserve">, University of Kansas</w:t>
      </w:r>
    </w:p>
    <w:p>
      <w:pPr>
        <w:keepLines/>
        <w:spacing w:before="0" w:after="20"/>
      </w:pPr>
      <w:r>
        <w:rPr>
          <w:b/>
          <w:bCs/>
          <w:sz w:val="20"/>
          <w:szCs w:val="20"/>
        </w:rPr>
        <w:t xml:space="preserve">ERB Karen Simmons Scholarship</w:t>
      </w:r>
      <w:r>
        <w:rPr>
          <w:sz w:val="20"/>
          <w:szCs w:val="20"/>
        </w:rPr>
        <w:t xml:space="preserve">, University of Kansas</w:t>
      </w:r>
    </w:p>
    <w:p>
      <w:pPr>
        <w:keepLines/>
        <w:spacing w:before="0" w:after="20"/>
      </w:pPr>
      <w:r>
        <w:rPr>
          <w:b/>
          <w:bCs/>
          <w:sz w:val="20"/>
          <w:szCs w:val="20"/>
        </w:rPr>
        <w:t xml:space="preserve">Ronald K. and Barbara D. Spry Student Support</w:t>
      </w:r>
      <w:r>
        <w:rPr>
          <w:sz w:val="20"/>
          <w:szCs w:val="20"/>
        </w:rPr>
        <w:t xml:space="preserve">, University of Kansas</w:t>
      </w:r>
    </w:p>
    <w:p>
      <w:pPr>
        <w:keepLines/>
        <w:spacing w:before="0" w:after="20"/>
      </w:pPr>
      <w:r>
        <w:rPr>
          <w:b/>
          <w:bCs/>
          <w:sz w:val="20"/>
          <w:szCs w:val="20"/>
        </w:rPr>
        <w:t xml:space="preserve">Helen Rowles Hansen Scholarship</w:t>
      </w:r>
      <w:r>
        <w:rPr>
          <w:sz w:val="20"/>
          <w:szCs w:val="20"/>
        </w:rPr>
        <w:t xml:space="preserve">, University of Kansas</w:t>
      </w:r>
    </w:p>
    <w:p>
      <w:pPr>
        <w:keepLines/>
        <w:spacing w:before="0" w:after="20"/>
      </w:pPr>
      <w:r>
        <w:rPr>
          <w:b/>
          <w:bCs/>
          <w:sz w:val="20"/>
          <w:szCs w:val="20"/>
        </w:rPr>
        <w:t xml:space="preserve">William S. Lashier Jr. Scholarship in Education</w:t>
      </w:r>
      <w:r>
        <w:rPr>
          <w:sz w:val="20"/>
          <w:szCs w:val="20"/>
        </w:rPr>
        <w:t xml:space="preserve">, University of Kansas</w:t>
      </w:r>
    </w:p>
    <w:p>
      <w:pPr>
        <w:keepLines/>
        <w:spacing w:before="0" w:after="20"/>
      </w:pPr>
      <w:r>
        <w:rPr>
          <w:b/>
          <w:bCs/>
          <w:sz w:val="20"/>
          <w:szCs w:val="20"/>
        </w:rPr>
        <w:t xml:space="preserve">Distinguished Instructor</w:t>
      </w:r>
      <w:r>
        <w:rPr>
          <w:sz w:val="20"/>
          <w:szCs w:val="20"/>
        </w:rPr>
        <w:t xml:space="preserve">, University of Isfahan  |  2019</w:t>
      </w:r>
    </w:p>
    <w:p>
      <w:pPr>
        <w:keepLines/>
        <w:spacing w:before="0" w:after="20"/>
      </w:pPr>
      <w:r>
        <w:rPr>
          <w:b/>
          <w:bCs/>
          <w:sz w:val="20"/>
          <w:szCs w:val="20"/>
        </w:rPr>
        <w:t xml:space="preserve">Ranked 99th of 9,881 candidates</w:t>
      </w:r>
      <w:r>
        <w:rPr>
          <w:sz w:val="20"/>
          <w:szCs w:val="20"/>
        </w:rPr>
        <w:t xml:space="preserve">, B.A. Public Entrance Exam  |  2016</w:t>
      </w:r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Languages</w:t>
      </w:r>
    </w:p>
    <w:p>
      <w:pPr>
        <w:spacing w:before="0" w:after="0"/>
      </w:pPr>
      <w:r>
        <w:rPr>
          <w:b/>
          <w:bCs/>
          <w:sz w:val="20"/>
          <w:szCs w:val="20"/>
        </w:rPr>
        <w:t xml:space="preserve">Farsi</w:t>
      </w:r>
      <w:r>
        <w:rPr>
          <w:sz w:val="20"/>
          <w:szCs w:val="20"/>
        </w:rPr>
        <w:t xml:space="preserve"> (native)</w:t>
      </w:r>
      <w:r>
        <w:rPr>
          <w:sz w:val="20"/>
          <w:szCs w:val="20"/>
        </w:rPr>
        <w:t xml:space="preserve">   |   </w:t>
      </w:r>
      <w:r>
        <w:rPr>
          <w:b/>
          <w:bCs/>
          <w:sz w:val="20"/>
          <w:szCs w:val="20"/>
        </w:rPr>
        <w:t xml:space="preserve">Qashqai-Turkish</w:t>
      </w:r>
      <w:r>
        <w:rPr>
          <w:sz w:val="20"/>
          <w:szCs w:val="20"/>
        </w:rPr>
        <w:t xml:space="preserve"> (heritage/native-level)</w:t>
      </w:r>
      <w:r>
        <w:rPr>
          <w:sz w:val="20"/>
          <w:szCs w:val="20"/>
        </w:rPr>
        <w:t xml:space="preserve">   |   </w:t>
      </w:r>
      <w:r>
        <w:rPr>
          <w:b/>
          <w:bCs/>
          <w:sz w:val="20"/>
          <w:szCs w:val="20"/>
        </w:rPr>
        <w:t xml:space="preserve">English</w:t>
      </w:r>
      <w:r>
        <w:rPr>
          <w:sz w:val="20"/>
          <w:szCs w:val="20"/>
        </w:rPr>
        <w:t xml:space="preserve"> (C2 / full professional proficiency)</w:t>
      </w:r>
    </w:p>
    <w:sectPr>
      <w:footerReference w:type="default" r:id="rIdF1"/>
      <w:pgSz w:w="12240" w:h="15840"/>
      <w:pgMar w:top="864" w:right="1037" w:bottom="1152" w:left="1037" w:header="720" w:footer="56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5C6975"/>
        <w:sz w:val="18"/>
        <w:szCs w:val="18"/>
      </w:rPr>
      <w:t xml:space="preserve">Peyman Jahanbin | Academic Curriculum Vitae | Updated October 2026 | Page </w:t>
    </w:r>
    <w:r>
      <w:rPr>
        <w:color w:val="5C6975"/>
        <w:sz w:val="18"/>
        <w:szCs w:val="18"/>
      </w:rPr>
      <w:fldChar w:fldCharType="begin"/>
    </w:r>
    <w:r>
      <w:rPr>
        <w:color w:val="5C6975"/>
        <w:sz w:val="18"/>
        <w:szCs w:val="18"/>
      </w:rPr>
      <w:instrText xml:space="preserve"> PAGE </w:instrText>
    </w:r>
    <w:r>
      <w:rPr>
        <w:color w:val="5C6975"/>
        <w:sz w:val="18"/>
        <w:szCs w:val="18"/>
      </w:rPr>
      <w:fldChar w:fldCharType="separate"/>
    </w:r>
    <w:r>
      <w:rPr>
        <w:color w:val="5C6975"/>
        <w:sz w:val="18"/>
        <w:szCs w:val="18"/>
      </w:rPr>
      <w:t>1</w:t>
    </w:r>
    <w:r>
      <w:rPr>
        <w:color w:val="5C6975"/>
        <w:sz w:val="18"/>
        <w:szCs w:val="18"/>
      </w:rPr>
      <w:fldChar w:fldCharType="end"/>
    </w:r>
  </w:p>
</w:ftr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mbria" w:hAnsi="Cambria" w:eastAsia="Cambria" w:cs="Cambria"/>
        <w:color w:val="202124"/>
        <w:sz w:val="20"/>
        <w:szCs w:val="20"/>
        <w:lang w:val="en-US"/>
      </w:rPr>
    </w:rPrDefault>
    <w:pPrDefault>
      <w:pPr>
        <w:spacing w:after="0" w:line="252" w:lineRule="auto"/>
      </w:pPr>
    </w:pPrDefault>
  </w:docDefaults>
  <w:style w:type="paragraph" w:default="1" w:styleId="Normal">
    <w:name w:val="Normal"/>
    <w:qFormat/>
  </w:style>
  <w:style w:type="character" w:styleId="Hyperlink">
    <w:name w:val="Hyperlink"/>
    <w:rPr>
      <w:color w:val="1F4E79"/>
    </w:rPr>
  </w:style>
</w:styles>
</file>

<file path=word/_rels/document.xml.rels><?xml version="1.0" encoding="UTF-8" standalone="yes"?><Relationships xmlns="http://schemas.openxmlformats.org/package/2006/relationships"><Relationship Id="rIdS1" Type="http://schemas.openxmlformats.org/officeDocument/2006/relationships/styles" Target="styles.xml"/><Relationship Id="rIdF1" Type="http://schemas.openxmlformats.org/officeDocument/2006/relationships/footer" Target="footer1.xml"/><Relationship Id="rIdL1" Type="http://schemas.openxmlformats.org/officeDocument/2006/relationships/hyperlink" Target="mailto:Peyman@KU.edu" TargetMode="External"/><Relationship Id="rIdL2" Type="http://schemas.openxmlformats.org/officeDocument/2006/relationships/hyperlink" Target="https://www.linkedin.com/in/jpeyman/" TargetMode="External"/><Relationship Id="rIdL3" Type="http://schemas.openxmlformats.org/officeDocument/2006/relationships/hyperlink" Target="https://scholar.google.com/citations?user=wlhGmcEAAAAJ&amp;hl=en" TargetMode="External"/><Relationship Id="rIdL4" Type="http://schemas.openxmlformats.org/officeDocument/2006/relationships/hyperlink" Target="https://doi.org/10.1002/tesq.70236" TargetMode="External"/><Relationship Id="rIdL5" Type="http://schemas.openxmlformats.org/officeDocument/2006/relationships/hyperlink" Target="https://doi.org/10.5937/IstrPed2602146F" TargetMode="External"/><Relationship Id="rIdL6" Type="http://schemas.openxmlformats.org/officeDocument/2006/relationships/hyperlink" Target="https://doi.org/10.1007/s41701-025-00190-9" TargetMode="External"/><Relationship Id="rIdL7" Type="http://schemas.openxmlformats.org/officeDocument/2006/relationships/hyperlink" Target="https://doi.org/10.52783/jisem.v10i48s.9574" TargetMode="External"/><Relationship Id="rIdL8" Type="http://schemas.openxmlformats.org/officeDocument/2006/relationships/hyperlink" Target="https://doi.org/10.52783/jisem.v10i48s.9576" TargetMode="External"/><Relationship Id="rIdL9" Type="http://schemas.openxmlformats.org/officeDocument/2006/relationships/hyperlink" Target="https://doi.org/10.1515/edu-2024-0043" TargetMode="External"/><Relationship Id="rIdL10" Type="http://schemas.openxmlformats.org/officeDocument/2006/relationships/hyperlink" Target="https://doi.org/10.48550/arXiv.2504.13765" TargetMode="External"/><Relationship Id="rIdL11" Type="http://schemas.openxmlformats.org/officeDocument/2006/relationships/hyperlink" Target="https://doi.org/10.21203/rs.3.rs-7032497/v1" TargetMode="Externa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Peyman Jahanbin, Curriculum Vitae</dc:title>
  <dc:creator>Peyman Jahanbin</dc:creator>
</cp:coreProperties>
</file>