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  <w:jc w:val="center"/>
      </w:pPr>
      <w:r>
        <w:rPr>
          <w:b/>
          <w:bCs/>
          <w:color w:val="1F4E79"/>
          <w:sz w:val="54"/>
          <w:szCs w:val="54"/>
        </w:rPr>
        <w:t xml:space="preserve">Peyman Jahanbin</w:t>
      </w:r>
    </w:p>
    <w:p>
      <w:pPr>
        <w:spacing w:before="40" w:after="0"/>
        <w:jc w:val="center"/>
      </w:pPr>
      <w:r>
        <w:rPr>
          <w:sz w:val="22"/>
          <w:szCs w:val="22"/>
        </w:rPr>
        <w:t xml:space="preserve">Curriculum &amp; Instruction (TESOL)  |  Language Assessment  |  AI in Education</w:t>
      </w:r>
    </w:p>
    <w:p>
      <w:pPr>
        <w:spacing w:before="20" w:after="200"/>
        <w:jc w:val="center"/>
      </w:pPr>
      <w:hyperlink r:id="rIdL1" w:history="1">
        <w:r>
          <w:rPr>
            <w:color w:val="5C6975"/>
            <w:sz w:val="20"/>
            <w:szCs w:val="20"/>
          </w:rPr>
          <w:t xml:space="preserve">Peyman@KU.edu</w:t>
        </w:r>
      </w:hyperlink>
      <w:r>
        <w:rPr>
          <w:color w:val="5C6975"/>
          <w:sz w:val="20"/>
          <w:szCs w:val="20"/>
        </w:rPr>
        <w:t xml:space="preserve">   |   </w:t>
      </w:r>
      <w:r>
        <w:rPr>
          <w:color w:val="5C6975"/>
          <w:sz w:val="20"/>
          <w:szCs w:val="20"/>
        </w:rPr>
        <w:t xml:space="preserve">Lawrence, Kansas</w:t>
      </w:r>
      <w:r>
        <w:rPr>
          <w:color w:val="5C6975"/>
          <w:sz w:val="20"/>
          <w:szCs w:val="20"/>
        </w:rPr>
        <w:t xml:space="preserve">   |   </w:t>
      </w:r>
      <w:hyperlink r:id="rIdL2" w:history="1">
        <w:r>
          <w:rPr>
            <w:color w:val="5C6975"/>
            <w:sz w:val="20"/>
            <w:szCs w:val="20"/>
          </w:rPr>
          <w:t xml:space="preserve">LinkedIn/JPeyman</w:t>
        </w:r>
      </w:hyperlink>
      <w:r>
        <w:rPr>
          <w:color w:val="5C6975"/>
          <w:sz w:val="20"/>
          <w:szCs w:val="20"/>
        </w:rPr>
        <w:t xml:space="preserve">   |   </w:t>
      </w:r>
      <w:hyperlink r:id="rIdL3" w:history="1">
        <w:r>
          <w:rPr>
            <w:color w:val="5C6975"/>
            <w:sz w:val="20"/>
            <w:szCs w:val="20"/>
          </w:rPr>
          <w:t xml:space="preserve">Google Scholar</w:t>
        </w:r>
      </w:hyperlink>
    </w:p>
    <w:p>
      <w:pPr>
        <w:keepNext/>
        <w:pBdr>
          <w:bottom w:val="single" w:sz="10" w:space="2" w:color="B9C6D8"/>
        </w:pBdr>
        <w:spacing w:before="200" w:after="100"/>
      </w:pPr>
      <w:r>
        <w:rPr>
          <w:b/>
          <w:bCs/>
          <w:caps/>
          <w:color w:val="1F4E79"/>
          <w:sz w:val="23"/>
          <w:szCs w:val="23"/>
        </w:rPr>
        <w:t xml:space="preserve">Research Interests</w:t>
      </w:r>
    </w:p>
    <w:p>
      <w:pPr>
        <w:spacing w:before="0" w:after="100"/>
      </w:pPr>
      <w:r>
        <w:rPr>
          <w:sz w:val="20"/>
          <w:szCs w:val="20"/>
        </w:rPr>
        <w:t xml:space="preserve">Language assessment; automated speaking assessment; validity and fairness; responsible AI in education; explainable machine learning; L2 pronunciation; multilingual education and policy; Seal of Biliteracy; quantitative and mixed-methods educational research.</w:t>
      </w:r>
    </w:p>
    <w:p>
      <w:pPr>
        <w:keepNext/>
        <w:pBdr>
          <w:bottom w:val="single" w:sz="10" w:space="2" w:color="B9C6D8"/>
        </w:pBdr>
        <w:spacing w:before="200" w:after="100"/>
      </w:pPr>
      <w:r>
        <w:rPr>
          <w:b/>
          <w:bCs/>
          <w:caps/>
          <w:color w:val="1F4E79"/>
          <w:sz w:val="23"/>
          <w:szCs w:val="23"/>
        </w:rPr>
        <w:t xml:space="preserve">Education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Ph.D. in Curriculum &amp; Instruction, TESOL Emphasis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September 2023-Present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University of Kansas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Lawrence, KS</w:t>
            </w:r>
          </w:p>
        </w:tc>
      </w:tr>
    </w:tbl>
    <w:p>
      <w:pPr>
        <w:keepLines/>
        <w:spacing w:before="20" w:after="100"/>
      </w:pPr>
      <w:r>
        <w:rPr>
          <w:sz w:val="20"/>
          <w:szCs w:val="20"/>
        </w:rPr>
        <w:t xml:space="preserve">Coursework completed; advanced to doctoral candidacy in October 2026. Dissertation focus: validity and fairness in automated speaking assessment.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Graduate Certificate in Second Language Studies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May 2026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spacing w:before="0" w:after="10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University of Kansas</w:t>
            </w:r>
          </w:p>
        </w:tc>
        <w:tc>
          <w:tcPr>
            <w:tcW w:w="3566" w:type="dxa"/>
          </w:tcPr>
          <w:p>
            <w:pPr>
              <w:spacing w:before="0" w:after="10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/>
            </w:r>
          </w:p>
        </w:tc>
      </w:tr>
    </w:tbl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M.A. in Teaching English as a Foreign Language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September 2020-December 2022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Shahid Beheshti University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Tehran, Iran</w:t>
            </w:r>
          </w:p>
        </w:tc>
      </w:tr>
    </w:tbl>
    <w:p>
      <w:pPr>
        <w:keepLines/>
        <w:spacing w:before="20" w:after="100"/>
      </w:pPr>
      <w:r>
        <w:rPr>
          <w:i/>
          <w:iCs/>
          <w:sz w:val="20"/>
          <w:szCs w:val="20"/>
        </w:rPr>
        <w:t xml:space="preserve">Thesis: Investigating the Effect of Audio-Assisted Reading on Incidental Learning of a Grammatical Structure Among Iranian EFL Learners.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B.A. in English Language &amp; Literature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September 2016-July 2019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spacing w:before="0" w:after="10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University of Isfahan</w:t>
            </w:r>
          </w:p>
        </w:tc>
        <w:tc>
          <w:tcPr>
            <w:tcW w:w="3566" w:type="dxa"/>
          </w:tcPr>
          <w:p>
            <w:pPr>
              <w:spacing w:before="0" w:after="10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Isfahan, Iran</w:t>
            </w:r>
          </w:p>
        </w:tc>
      </w:tr>
    </w:tbl>
    <w:p>
      <w:pPr>
        <w:keepNext/>
        <w:pBdr>
          <w:bottom w:val="single" w:sz="10" w:space="2" w:color="B9C6D8"/>
        </w:pBdr>
        <w:spacing w:before="200" w:after="100"/>
      </w:pPr>
      <w:r>
        <w:rPr>
          <w:b/>
          <w:bCs/>
          <w:caps/>
          <w:color w:val="1F4E79"/>
          <w:sz w:val="23"/>
          <w:szCs w:val="23"/>
        </w:rPr>
        <w:t xml:space="preserve">Academic Appointments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Instructor of Record &amp; Graduate Teaching Assistant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2023-Present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Department of Curriculum &amp; Teaching, University of Kansas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Lawrence, KS</w:t>
            </w:r>
          </w:p>
        </w:tc>
      </w:tr>
    </w:tbl>
    <w:p>
      <w:pPr>
        <w:keepLines/>
        <w:spacing w:before="20" w:after="100"/>
      </w:pPr>
      <w:r>
        <w:rPr>
          <w:sz w:val="20"/>
          <w:szCs w:val="20"/>
        </w:rPr>
        <w:t xml:space="preserve">Instructor of record for undergraduate and graduate courses in TESOL methods, language assessment, practicum, multilingual learner instruction, and teacher education.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Graduate Research Assistant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May 2025-August 2026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Center for Educational Opportunity Programs, University of Kansas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Lawrence, KS</w:t>
            </w:r>
          </w:p>
        </w:tc>
      </w:tr>
    </w:tbl>
    <w:p>
      <w:pPr>
        <w:keepLines/>
        <w:spacing w:before="20" w:after="100"/>
      </w:pPr>
      <w:r>
        <w:rPr>
          <w:sz w:val="20"/>
          <w:szCs w:val="20"/>
        </w:rPr>
        <w:t xml:space="preserve">Conducted research synthesis and policy analysis on Seal of Biliteracy implementation, equity, outcomes, and external recognition. Project SELILLA: $2.44 million federally funded project.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English as a Foreign Language (EFL) Instructor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2018-2022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University of Isfahan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Isfahan, Iran</w:t>
            </w:r>
          </w:p>
        </w:tc>
      </w:tr>
    </w:tbl>
    <w:p>
      <w:pPr>
        <w:keepLines/>
        <w:spacing w:before="20" w:after="100"/>
      </w:pPr>
      <w:r>
        <w:rPr>
          <w:sz w:val="20"/>
          <w:szCs w:val="20"/>
        </w:rPr>
        <w:t xml:space="preserve">Taught general English to undergraduate and graduate students; approximately 250 instructional hours.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English as a Foreign Language (EFL) Instructor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2014-2018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spacing w:before="0" w:after="10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Kish English Institute</w:t>
            </w:r>
          </w:p>
        </w:tc>
        <w:tc>
          <w:tcPr>
            <w:tcW w:w="3566" w:type="dxa"/>
          </w:tcPr>
          <w:p>
            <w:pPr>
              <w:spacing w:before="0" w:after="10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Sabzevar, Iran</w:t>
            </w:r>
          </w:p>
        </w:tc>
      </w:tr>
    </w:tbl>
    <w:p>
      <w:pPr>
        <w:keepNext/>
        <w:pBdr>
          <w:bottom w:val="single" w:sz="10" w:space="2" w:color="B9C6D8"/>
        </w:pBdr>
        <w:spacing w:before="200" w:after="100"/>
      </w:pPr>
      <w:r>
        <w:rPr>
          <w:b/>
          <w:bCs/>
          <w:caps/>
          <w:color w:val="1F4E79"/>
          <w:sz w:val="23"/>
          <w:szCs w:val="23"/>
        </w:rPr>
        <w:t xml:space="preserve">Peer-Reviewed Publications &amp; Accepted Manuscripts</w:t>
      </w:r>
    </w:p>
    <w:p>
      <w:pPr>
        <w:keepNext/>
        <w:spacing w:before="0" w:after="0"/>
      </w:pPr>
      <w:r>
        <w:rPr>
          <w:b/>
          <w:bCs/>
          <w:sz w:val="21"/>
          <w:szCs w:val="21"/>
        </w:rPr>
        <w:t xml:space="preserve">Beyond Symbolic Recognition: Examining Access, Fidelity, and Student Outcomes in the Seal of Biliteracy</w:t>
      </w:r>
    </w:p>
    <w:p>
      <w:pPr>
        <w:keepNext/>
        <w:spacing w:before="20" w:after="0"/>
      </w:pPr>
      <w:r>
        <w:rPr>
          <w:b/>
          <w:bCs/>
          <w:sz w:val="20"/>
          <w:szCs w:val="20"/>
        </w:rPr>
        <w:t xml:space="preserve">Peyman Jahanbin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Adam M. Brazil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Sarah C. Swyers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Meghan Ecker-Lyster</w:t>
      </w:r>
      <w:r>
        <w:rPr>
          <w:sz w:val="20"/>
          <w:szCs w:val="20"/>
        </w:rPr>
        <w:t xml:space="preserve">, &amp; </w:t>
      </w:r>
      <w:r>
        <w:rPr>
          <w:sz w:val="20"/>
          <w:szCs w:val="20"/>
        </w:rPr>
        <w:t xml:space="preserve">Michael Klein-Thibodeau</w:t>
      </w:r>
    </w:p>
    <w:p>
      <w:pPr>
        <w:keepLines/>
        <w:spacing w:before="20" w:after="100"/>
      </w:pPr>
      <w:r>
        <w:rPr>
          <w:i/>
          <w:iCs/>
          <w:color w:val="5C6975"/>
          <w:sz w:val="19"/>
          <w:szCs w:val="19"/>
        </w:rPr>
        <w:t xml:space="preserve">TESOL Quarterly</w:t>
      </w:r>
      <w:r>
        <w:rPr>
          <w:color w:val="5C6975"/>
          <w:sz w:val="19"/>
          <w:szCs w:val="19"/>
        </w:rPr>
        <w:t xml:space="preserve">. 2026</w:t>
      </w:r>
      <w:r>
        <w:rPr>
          <w:color w:val="5C6975"/>
          <w:sz w:val="19"/>
          <w:szCs w:val="19"/>
        </w:rPr>
        <w:t xml:space="preserve">. DOI: </w:t>
      </w:r>
      <w:hyperlink r:id="rIdL4" w:history="1">
        <w:r>
          <w:rPr>
            <w:color w:val="1F4E79"/>
            <w:sz w:val="19"/>
            <w:szCs w:val="19"/>
          </w:rPr>
          <w:t xml:space="preserve">10.1002/tesq.70236</w:t>
        </w:r>
      </w:hyperlink>
    </w:p>
    <w:p>
      <w:pPr>
        <w:keepNext/>
        <w:spacing w:before="0" w:after="0"/>
      </w:pPr>
      <w:r>
        <w:rPr>
          <w:b/>
          <w:bCs/>
          <w:sz w:val="21"/>
          <w:szCs w:val="21"/>
        </w:rPr>
        <w:t xml:space="preserve">A Linear Logistic Test Model (LLTM) Application in Foreign Language Testing</w:t>
      </w:r>
    </w:p>
    <w:p>
      <w:pPr>
        <w:keepNext/>
        <w:spacing w:before="20" w:after="0"/>
      </w:pPr>
      <w:r>
        <w:rPr>
          <w:sz w:val="20"/>
          <w:szCs w:val="20"/>
        </w:rPr>
        <w:t xml:space="preserve">Jose Fabián Elizondo-González</w:t>
      </w:r>
      <w:r>
        <w:rPr>
          <w:sz w:val="20"/>
          <w:szCs w:val="20"/>
        </w:rPr>
        <w:t xml:space="preserve"> &amp; </w:t>
      </w:r>
      <w:r>
        <w:rPr>
          <w:b/>
          <w:bCs/>
          <w:sz w:val="20"/>
          <w:szCs w:val="20"/>
        </w:rPr>
        <w:t xml:space="preserve">Peyman Jahanbin</w:t>
      </w:r>
    </w:p>
    <w:p>
      <w:pPr>
        <w:keepLines/>
        <w:spacing w:before="20" w:after="100"/>
      </w:pPr>
      <w:r>
        <w:rPr>
          <w:i/>
          <w:iCs/>
          <w:color w:val="5C6975"/>
          <w:sz w:val="19"/>
          <w:szCs w:val="19"/>
        </w:rPr>
        <w:t xml:space="preserve">Research in Pedagogy, 16(2), 146-166</w:t>
      </w:r>
      <w:r>
        <w:rPr>
          <w:color w:val="5C6975"/>
          <w:sz w:val="19"/>
          <w:szCs w:val="19"/>
        </w:rPr>
        <w:t xml:space="preserve">. 2026</w:t>
      </w:r>
      <w:r>
        <w:rPr>
          <w:color w:val="5C6975"/>
          <w:sz w:val="19"/>
          <w:szCs w:val="19"/>
        </w:rPr>
        <w:t xml:space="preserve">. DOI: </w:t>
      </w:r>
      <w:hyperlink r:id="rIdL5" w:history="1">
        <w:r>
          <w:rPr>
            <w:color w:val="1F4E79"/>
            <w:sz w:val="19"/>
            <w:szCs w:val="19"/>
          </w:rPr>
          <w:t xml:space="preserve">10.5937/IstrPed2602146F</w:t>
        </w:r>
      </w:hyperlink>
    </w:p>
    <w:p>
      <w:pPr>
        <w:keepNext/>
        <w:spacing w:before="0" w:after="0"/>
      </w:pPr>
      <w:r>
        <w:rPr>
          <w:b/>
          <w:bCs/>
          <w:sz w:val="21"/>
          <w:szCs w:val="21"/>
        </w:rPr>
        <w:t xml:space="preserve">An Analysis of Dyadic Interactional Patterns in Peer Reviewing Tasks in an ESL Language Classroom at a Malaysian Higher Educational Institute</w:t>
      </w:r>
    </w:p>
    <w:p>
      <w:pPr>
        <w:keepNext/>
        <w:spacing w:before="20" w:after="0"/>
      </w:pPr>
      <w:r>
        <w:rPr>
          <w:sz w:val="20"/>
          <w:szCs w:val="20"/>
        </w:rPr>
        <w:t xml:space="preserve">Paramasivam Muthusamy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Atieh Farashaiyan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Rabindra Dev Prasad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Peyman Jahanbin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Ananthi Pattanimuthu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Hamsavathi A/P Ramalingam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Fan Qihang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Wang Jing</w:t>
      </w:r>
      <w:r>
        <w:rPr>
          <w:sz w:val="20"/>
          <w:szCs w:val="20"/>
        </w:rPr>
        <w:t xml:space="preserve">, &amp; </w:t>
      </w:r>
      <w:r>
        <w:rPr>
          <w:sz w:val="20"/>
          <w:szCs w:val="20"/>
        </w:rPr>
        <w:t xml:space="preserve">Zhang Xiaoling</w:t>
      </w:r>
    </w:p>
    <w:p>
      <w:pPr>
        <w:keepLines/>
        <w:spacing w:before="20" w:after="100"/>
      </w:pPr>
      <w:r>
        <w:rPr>
          <w:i/>
          <w:iCs/>
          <w:color w:val="5C6975"/>
          <w:sz w:val="19"/>
          <w:szCs w:val="19"/>
        </w:rPr>
        <w:t xml:space="preserve">International Journal of Special Education, 41(6s), 1102-1114</w:t>
      </w:r>
      <w:r>
        <w:rPr>
          <w:color w:val="5C6975"/>
          <w:sz w:val="19"/>
          <w:szCs w:val="19"/>
        </w:rPr>
        <w:t xml:space="preserve">. 2026</w:t>
      </w:r>
    </w:p>
    <w:p>
      <w:pPr>
        <w:keepNext/>
        <w:spacing w:before="0" w:after="0"/>
      </w:pPr>
      <w:r>
        <w:rPr>
          <w:b/>
          <w:bCs/>
          <w:sz w:val="21"/>
          <w:szCs w:val="21"/>
        </w:rPr>
        <w:t xml:space="preserve">A Comparative Corpus-driven Analysis of Criticism in Book Reviews on Academic Discourse</w:t>
      </w:r>
    </w:p>
    <w:p>
      <w:pPr>
        <w:keepNext/>
        <w:spacing w:before="20" w:after="0"/>
      </w:pPr>
      <w:r>
        <w:rPr>
          <w:sz w:val="20"/>
          <w:szCs w:val="20"/>
        </w:rPr>
        <w:t xml:space="preserve">Atieh Farashaiyan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Peyman Jahanbin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Malarvizhi Sinayah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Thanalachime Perumal</w:t>
      </w:r>
      <w:r>
        <w:rPr>
          <w:sz w:val="20"/>
          <w:szCs w:val="20"/>
        </w:rPr>
        <w:t xml:space="preserve">, &amp; </w:t>
      </w:r>
      <w:r>
        <w:rPr>
          <w:sz w:val="20"/>
          <w:szCs w:val="20"/>
        </w:rPr>
        <w:t xml:space="preserve">Selvajothi Ramalingam</w:t>
      </w:r>
    </w:p>
    <w:p>
      <w:pPr>
        <w:keepLines/>
        <w:spacing w:before="20" w:after="100"/>
      </w:pPr>
      <w:r>
        <w:rPr>
          <w:i/>
          <w:iCs/>
          <w:color w:val="5C6975"/>
          <w:sz w:val="19"/>
          <w:szCs w:val="19"/>
        </w:rPr>
        <w:t xml:space="preserve">Corpus Pragmatics, 9(3), 269-291</w:t>
      </w:r>
      <w:r>
        <w:rPr>
          <w:color w:val="5C6975"/>
          <w:sz w:val="19"/>
          <w:szCs w:val="19"/>
        </w:rPr>
        <w:t xml:space="preserve">. 2025</w:t>
      </w:r>
      <w:r>
        <w:rPr>
          <w:color w:val="5C6975"/>
          <w:sz w:val="19"/>
          <w:szCs w:val="19"/>
        </w:rPr>
        <w:t xml:space="preserve">. DOI: </w:t>
      </w:r>
      <w:hyperlink r:id="rIdL6" w:history="1">
        <w:r>
          <w:rPr>
            <w:color w:val="1F4E79"/>
            <w:sz w:val="19"/>
            <w:szCs w:val="19"/>
          </w:rPr>
          <w:t xml:space="preserve">10.1007/s41701-025-00190-9</w:t>
        </w:r>
      </w:hyperlink>
    </w:p>
    <w:p>
      <w:pPr>
        <w:keepNext/>
        <w:spacing w:before="0" w:after="0"/>
      </w:pPr>
      <w:r>
        <w:rPr>
          <w:b/>
          <w:bCs/>
          <w:sz w:val="21"/>
          <w:szCs w:val="21"/>
        </w:rPr>
        <w:t xml:space="preserve">The Effect of Personality Types on ESL University Lecturers’ Creativity in Using Instructional Techniques for Online Education in Malaysian Higher Education Institutes</w:t>
      </w:r>
    </w:p>
    <w:p>
      <w:pPr>
        <w:keepNext/>
        <w:spacing w:before="20" w:after="0"/>
      </w:pPr>
      <w:r>
        <w:rPr>
          <w:sz w:val="20"/>
          <w:szCs w:val="20"/>
        </w:rPr>
        <w:t xml:space="preserve">Paramasivam Muthusamy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Peyman Jahanbin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Atieh Farashaiyan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Thanalachime Perumal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Kumutha Raman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Sun Chen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Du Junying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Qiao Mu</w:t>
      </w:r>
      <w:r>
        <w:rPr>
          <w:sz w:val="20"/>
          <w:szCs w:val="20"/>
        </w:rPr>
        <w:t xml:space="preserve">, &amp; </w:t>
      </w:r>
      <w:r>
        <w:rPr>
          <w:sz w:val="20"/>
          <w:szCs w:val="20"/>
        </w:rPr>
        <w:t xml:space="preserve">Li Jiao</w:t>
      </w:r>
    </w:p>
    <w:p>
      <w:pPr>
        <w:keepLines/>
        <w:spacing w:before="20" w:after="100"/>
      </w:pPr>
      <w:r>
        <w:rPr>
          <w:i/>
          <w:iCs/>
          <w:color w:val="5C6975"/>
          <w:sz w:val="19"/>
          <w:szCs w:val="19"/>
        </w:rPr>
        <w:t xml:space="preserve">Journal of Information Systems Engineering and Management, 10(48s), 533-544</w:t>
      </w:r>
      <w:r>
        <w:rPr>
          <w:color w:val="5C6975"/>
          <w:sz w:val="19"/>
          <w:szCs w:val="19"/>
        </w:rPr>
        <w:t xml:space="preserve">. 2025</w:t>
      </w:r>
      <w:r>
        <w:rPr>
          <w:color w:val="5C6975"/>
          <w:sz w:val="19"/>
          <w:szCs w:val="19"/>
        </w:rPr>
        <w:t xml:space="preserve">. DOI: </w:t>
      </w:r>
      <w:hyperlink r:id="rIdL7" w:history="1">
        <w:r>
          <w:rPr>
            <w:color w:val="1F4E79"/>
            <w:sz w:val="19"/>
            <w:szCs w:val="19"/>
          </w:rPr>
          <w:t xml:space="preserve">10.52783/jisem.v10i48s.9574</w:t>
        </w:r>
      </w:hyperlink>
    </w:p>
    <w:p>
      <w:pPr>
        <w:keepNext/>
        <w:spacing w:before="0" w:after="0"/>
      </w:pPr>
      <w:r>
        <w:rPr>
          <w:b/>
          <w:bCs/>
          <w:sz w:val="21"/>
          <w:szCs w:val="21"/>
        </w:rPr>
        <w:t xml:space="preserve">An Investigation of Students’ English Achievements and Its Implications for Curriculum Amelioration in Malaysian Higher Education Institutions</w:t>
      </w:r>
    </w:p>
    <w:p>
      <w:pPr>
        <w:keepNext/>
        <w:spacing w:before="20" w:after="0"/>
      </w:pPr>
      <w:r>
        <w:rPr>
          <w:sz w:val="20"/>
          <w:szCs w:val="20"/>
        </w:rPr>
        <w:t xml:space="preserve">Paramasivam Muthusamy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Peyman Jahanbin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Du Junying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Qiao Mu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Xiang Xueyan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Hamsavathi A/P Ramalingam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Wang Xibing</w:t>
      </w:r>
      <w:r>
        <w:rPr>
          <w:sz w:val="20"/>
          <w:szCs w:val="20"/>
        </w:rPr>
        <w:t xml:space="preserve">, &amp; </w:t>
      </w:r>
      <w:r>
        <w:rPr>
          <w:sz w:val="20"/>
          <w:szCs w:val="20"/>
        </w:rPr>
        <w:t xml:space="preserve">Atieh Farashaiyan</w:t>
      </w:r>
    </w:p>
    <w:p>
      <w:pPr>
        <w:keepLines/>
        <w:spacing w:before="20" w:after="100"/>
      </w:pPr>
      <w:r>
        <w:rPr>
          <w:i/>
          <w:iCs/>
          <w:color w:val="5C6975"/>
          <w:sz w:val="19"/>
          <w:szCs w:val="19"/>
        </w:rPr>
        <w:t xml:space="preserve">Journal of Information Systems Engineering and Management, 10(48s), 545-559</w:t>
      </w:r>
      <w:r>
        <w:rPr>
          <w:color w:val="5C6975"/>
          <w:sz w:val="19"/>
          <w:szCs w:val="19"/>
        </w:rPr>
        <w:t xml:space="preserve">. 2025</w:t>
      </w:r>
      <w:r>
        <w:rPr>
          <w:color w:val="5C6975"/>
          <w:sz w:val="19"/>
          <w:szCs w:val="19"/>
        </w:rPr>
        <w:t xml:space="preserve">. DOI: </w:t>
      </w:r>
      <w:hyperlink r:id="rIdL8" w:history="1">
        <w:r>
          <w:rPr>
            <w:color w:val="1F4E79"/>
            <w:sz w:val="19"/>
            <w:szCs w:val="19"/>
          </w:rPr>
          <w:t xml:space="preserve">10.52783/jisem.v10i48s.9576</w:t>
        </w:r>
      </w:hyperlink>
    </w:p>
    <w:p>
      <w:pPr>
        <w:keepNext/>
        <w:spacing w:before="0" w:after="0"/>
      </w:pPr>
      <w:r>
        <w:rPr>
          <w:b/>
          <w:bCs/>
          <w:sz w:val="21"/>
          <w:szCs w:val="21"/>
        </w:rPr>
        <w:t xml:space="preserve">The Effect of Audio-Assisted Reading on Incidental Learning of Present Perfect by EFL Learners</w:t>
      </w:r>
    </w:p>
    <w:p>
      <w:pPr>
        <w:keepNext/>
        <w:spacing w:before="20" w:after="0"/>
      </w:pPr>
      <w:r>
        <w:rPr>
          <w:sz w:val="20"/>
          <w:szCs w:val="20"/>
        </w:rPr>
        <w:t xml:space="preserve">Musa Nushi</w:t>
      </w:r>
      <w:r>
        <w:rPr>
          <w:sz w:val="20"/>
          <w:szCs w:val="20"/>
        </w:rPr>
        <w:t xml:space="preserve"> &amp; </w:t>
      </w:r>
      <w:r>
        <w:rPr>
          <w:b/>
          <w:bCs/>
          <w:sz w:val="20"/>
          <w:szCs w:val="20"/>
        </w:rPr>
        <w:t xml:space="preserve">Peyman Jahanbin</w:t>
      </w:r>
    </w:p>
    <w:p>
      <w:pPr>
        <w:keepLines/>
        <w:spacing w:before="20" w:after="100"/>
      </w:pPr>
      <w:r>
        <w:rPr>
          <w:i/>
          <w:iCs/>
          <w:color w:val="5C6975"/>
          <w:sz w:val="19"/>
          <w:szCs w:val="19"/>
        </w:rPr>
        <w:t xml:space="preserve">Open Education Studies, 6(1), 20240043</w:t>
      </w:r>
      <w:r>
        <w:rPr>
          <w:color w:val="5C6975"/>
          <w:sz w:val="19"/>
          <w:szCs w:val="19"/>
        </w:rPr>
        <w:t xml:space="preserve">. 2024</w:t>
      </w:r>
      <w:r>
        <w:rPr>
          <w:color w:val="5C6975"/>
          <w:sz w:val="19"/>
          <w:szCs w:val="19"/>
        </w:rPr>
        <w:t xml:space="preserve">. DOI: </w:t>
      </w:r>
      <w:hyperlink r:id="rIdL9" w:history="1">
        <w:r>
          <w:rPr>
            <w:color w:val="1F4E79"/>
            <w:sz w:val="19"/>
            <w:szCs w:val="19"/>
          </w:rPr>
          <w:t xml:space="preserve">10.1515/edu-2024-0043</w:t>
        </w:r>
      </w:hyperlink>
    </w:p>
    <w:p>
      <w:pPr>
        <w:keepNext/>
        <w:pBdr>
          <w:bottom w:val="single" w:sz="10" w:space="2" w:color="B9C6D8"/>
        </w:pBdr>
        <w:spacing w:before="200" w:after="100"/>
      </w:pPr>
      <w:r>
        <w:rPr>
          <w:b/>
          <w:bCs/>
          <w:caps/>
          <w:color w:val="1F4E79"/>
          <w:sz w:val="23"/>
          <w:szCs w:val="23"/>
        </w:rPr>
        <w:t xml:space="preserve">Manuscripts in Review / Editorial Processing</w:t>
      </w:r>
    </w:p>
    <w:p>
      <w:pPr>
        <w:keepNext/>
        <w:spacing w:before="0" w:after="0"/>
      </w:pPr>
      <w:r>
        <w:rPr>
          <w:b/>
          <w:bCs/>
          <w:sz w:val="21"/>
          <w:szCs w:val="21"/>
        </w:rPr>
        <w:t xml:space="preserve">“The Accent Hides the Knowledge”: Raciolinguistic Gatekeeping and Algorithmic Suspicion of Middle Eastern Graduate Teaching Assistants in U.S. Higher Education</w:t>
      </w:r>
    </w:p>
    <w:p>
      <w:pPr>
        <w:keepNext/>
        <w:spacing w:before="20" w:after="0"/>
      </w:pPr>
      <w:r>
        <w:rPr>
          <w:b/>
          <w:bCs/>
          <w:sz w:val="20"/>
          <w:szCs w:val="20"/>
        </w:rPr>
        <w:t xml:space="preserve">Peyman Jahanbin</w:t>
      </w:r>
      <w:r>
        <w:rPr>
          <w:sz w:val="20"/>
          <w:szCs w:val="20"/>
        </w:rPr>
        <w:t xml:space="preserve"> &amp; </w:t>
      </w:r>
      <w:r>
        <w:rPr>
          <w:sz w:val="20"/>
          <w:szCs w:val="20"/>
        </w:rPr>
        <w:t xml:space="preserve">Hyesun Cho</w:t>
      </w:r>
    </w:p>
    <w:p>
      <w:pPr>
        <w:keepLines/>
        <w:spacing w:before="20" w:after="100"/>
      </w:pPr>
      <w:r>
        <w:rPr>
          <w:i/>
          <w:iCs/>
          <w:color w:val="5C6975"/>
          <w:sz w:val="19"/>
          <w:szCs w:val="19"/>
        </w:rPr>
        <w:t xml:space="preserve">Journal of Language, Identity &amp; Education</w:t>
      </w:r>
      <w:r>
        <w:rPr>
          <w:color w:val="5C6975"/>
          <w:sz w:val="19"/>
          <w:szCs w:val="19"/>
        </w:rPr>
        <w:t xml:space="preserve">. Revised (minor revisions) after peer review; currently out for review</w:t>
      </w:r>
    </w:p>
    <w:p>
      <w:pPr>
        <w:keepNext/>
        <w:pBdr>
          <w:bottom w:val="single" w:sz="10" w:space="2" w:color="B9C6D8"/>
        </w:pBdr>
        <w:spacing w:before="200" w:after="100"/>
      </w:pPr>
      <w:r>
        <w:rPr>
          <w:b/>
          <w:bCs/>
          <w:caps/>
          <w:color w:val="1F4E79"/>
          <w:sz w:val="23"/>
          <w:szCs w:val="23"/>
        </w:rPr>
        <w:t xml:space="preserve">Preprints &amp; Reproducible Research</w:t>
      </w:r>
    </w:p>
    <w:p>
      <w:pPr>
        <w:keepNext/>
        <w:spacing w:before="0" w:after="0"/>
      </w:pPr>
      <w:r>
        <w:rPr>
          <w:b/>
          <w:bCs/>
          <w:sz w:val="21"/>
          <w:szCs w:val="21"/>
        </w:rPr>
        <w:t xml:space="preserve">Measuring University Students’ Ethical Judgments of Generative AI Use: Development and Initial Validation of Four Instruments for Academic Integrity Research</w:t>
      </w:r>
    </w:p>
    <w:p>
      <w:pPr>
        <w:keepNext/>
        <w:spacing w:before="20" w:after="0"/>
      </w:pPr>
      <w:r>
        <w:rPr>
          <w:b/>
          <w:bCs/>
          <w:sz w:val="20"/>
          <w:szCs w:val="20"/>
        </w:rPr>
        <w:t xml:space="preserve">Peyman Jahanbin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Imogen R. Herrick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Ian Thacker</w:t>
      </w:r>
      <w:r>
        <w:rPr>
          <w:sz w:val="20"/>
          <w:szCs w:val="20"/>
        </w:rPr>
        <w:t xml:space="preserve">, &amp; </w:t>
      </w:r>
      <w:r>
        <w:rPr>
          <w:sz w:val="20"/>
          <w:szCs w:val="20"/>
        </w:rPr>
        <w:t xml:space="preserve">Atiyeh Choobkar</w:t>
      </w:r>
    </w:p>
    <w:p>
      <w:pPr>
        <w:keepLines/>
        <w:spacing w:before="20" w:after="100"/>
      </w:pPr>
      <w:r>
        <w:rPr>
          <w:i/>
          <w:iCs/>
          <w:color w:val="5C6975"/>
          <w:sz w:val="19"/>
          <w:szCs w:val="19"/>
        </w:rPr>
        <w:t xml:space="preserve">Research Square</w:t>
      </w:r>
      <w:r>
        <w:rPr>
          <w:color w:val="5C6975"/>
          <w:sz w:val="19"/>
          <w:szCs w:val="19"/>
        </w:rPr>
        <w:t xml:space="preserve">. 2026; Preprint (Version 1)</w:t>
      </w:r>
      <w:r>
        <w:rPr>
          <w:color w:val="5C6975"/>
          <w:sz w:val="19"/>
          <w:szCs w:val="19"/>
        </w:rPr>
        <w:t xml:space="preserve">. DOI: </w:t>
      </w:r>
      <w:hyperlink r:id="rIdL10" w:history="1">
        <w:r>
          <w:rPr>
            <w:color w:val="1F4E79"/>
            <w:sz w:val="19"/>
            <w:szCs w:val="19"/>
          </w:rPr>
          <w:t xml:space="preserve">10.21203/rs.3.rs-11286301/v1</w:t>
        </w:r>
      </w:hyperlink>
    </w:p>
    <w:p>
      <w:pPr>
        <w:keepNext/>
        <w:spacing w:before="0" w:after="0"/>
      </w:pPr>
      <w:r>
        <w:rPr>
          <w:b/>
          <w:bCs/>
          <w:sz w:val="21"/>
          <w:szCs w:val="21"/>
        </w:rPr>
        <w:t xml:space="preserve">Acoustic Gap Placement in Second-Language Read Speech Production</w:t>
      </w:r>
    </w:p>
    <w:p>
      <w:pPr>
        <w:keepNext/>
        <w:spacing w:before="20" w:after="0"/>
      </w:pPr>
      <w:r>
        <w:rPr>
          <w:b/>
          <w:bCs/>
          <w:sz w:val="20"/>
          <w:szCs w:val="20"/>
        </w:rPr>
        <w:t xml:space="preserve">Peyman Jahanbin</w:t>
      </w:r>
    </w:p>
    <w:p>
      <w:pPr>
        <w:keepLines/>
        <w:spacing w:before="20" w:after="100"/>
      </w:pPr>
      <w:r>
        <w:rPr>
          <w:i/>
          <w:iCs/>
          <w:color w:val="5C6975"/>
          <w:sz w:val="19"/>
          <w:szCs w:val="19"/>
        </w:rPr>
        <w:t xml:space="preserve">arXiv</w:t>
      </w:r>
      <w:r>
        <w:rPr>
          <w:color w:val="5C6975"/>
          <w:sz w:val="19"/>
          <w:szCs w:val="19"/>
        </w:rPr>
        <w:t xml:space="preserve">. 2026; Preprint; under review at PLOS ONE</w:t>
      </w:r>
      <w:r>
        <w:rPr>
          <w:color w:val="5C6975"/>
          <w:sz w:val="19"/>
          <w:szCs w:val="19"/>
        </w:rPr>
        <w:t xml:space="preserve">. DOI: </w:t>
      </w:r>
      <w:hyperlink r:id="rIdL11" w:history="1">
        <w:r>
          <w:rPr>
            <w:color w:val="1F4E79"/>
            <w:sz w:val="19"/>
            <w:szCs w:val="19"/>
          </w:rPr>
          <w:t xml:space="preserve">10.48550/arXiv.2610.02582</w:t>
        </w:r>
      </w:hyperlink>
    </w:p>
    <w:p>
      <w:pPr>
        <w:keepNext/>
        <w:spacing w:before="0" w:after="0"/>
      </w:pPr>
      <w:r>
        <w:rPr>
          <w:b/>
          <w:bCs/>
          <w:sz w:val="21"/>
          <w:szCs w:val="21"/>
        </w:rPr>
        <w:t xml:space="preserve">MFCC-Based Modeling of L1 Influence in L2 English Pronunciation: A Reproducible Methodological Pipeline</w:t>
      </w:r>
    </w:p>
    <w:p>
      <w:pPr>
        <w:keepNext/>
        <w:spacing w:before="20" w:after="0"/>
      </w:pPr>
      <w:r>
        <w:rPr>
          <w:b/>
          <w:bCs/>
          <w:sz w:val="20"/>
          <w:szCs w:val="20"/>
        </w:rPr>
        <w:t xml:space="preserve">Peyman Jahanbin</w:t>
      </w:r>
    </w:p>
    <w:p>
      <w:pPr>
        <w:keepLines/>
        <w:spacing w:before="20" w:after="100"/>
      </w:pPr>
      <w:r>
        <w:rPr>
          <w:i/>
          <w:iCs/>
          <w:color w:val="5C6975"/>
          <w:sz w:val="19"/>
          <w:szCs w:val="19"/>
        </w:rPr>
        <w:t xml:space="preserve">Research Square</w:t>
      </w:r>
      <w:r>
        <w:rPr>
          <w:color w:val="5C6975"/>
          <w:sz w:val="19"/>
          <w:szCs w:val="19"/>
        </w:rPr>
        <w:t xml:space="preserve">. 2025; Methodological preprint</w:t>
      </w:r>
      <w:r>
        <w:rPr>
          <w:color w:val="5C6975"/>
          <w:sz w:val="19"/>
          <w:szCs w:val="19"/>
        </w:rPr>
        <w:t xml:space="preserve">. DOI: </w:t>
      </w:r>
      <w:hyperlink r:id="rIdL12" w:history="1">
        <w:r>
          <w:rPr>
            <w:color w:val="1F4E79"/>
            <w:sz w:val="19"/>
            <w:szCs w:val="19"/>
          </w:rPr>
          <w:t xml:space="preserve">10.21203/rs.3.rs-7032497/v1</w:t>
        </w:r>
      </w:hyperlink>
    </w:p>
    <w:p>
      <w:pPr>
        <w:keepNext/>
        <w:spacing w:before="0" w:after="0"/>
      </w:pPr>
      <w:r>
        <w:rPr>
          <w:b/>
          <w:bCs/>
          <w:sz w:val="21"/>
          <w:szCs w:val="21"/>
        </w:rPr>
        <w:t xml:space="preserve">Modeling L1 Influence on L2 Pronunciation: An MFCC-Based Framework for Explainable Machine Learning and Pedagogical Feedback</w:t>
      </w:r>
    </w:p>
    <w:p>
      <w:pPr>
        <w:keepNext/>
        <w:spacing w:before="20" w:after="0"/>
      </w:pPr>
      <w:r>
        <w:rPr>
          <w:b/>
          <w:bCs/>
          <w:sz w:val="20"/>
          <w:szCs w:val="20"/>
        </w:rPr>
        <w:t xml:space="preserve">Peyman Jahanbin</w:t>
      </w:r>
    </w:p>
    <w:p>
      <w:pPr>
        <w:keepLines/>
        <w:spacing w:before="20" w:after="100"/>
      </w:pPr>
      <w:r>
        <w:rPr>
          <w:i/>
          <w:iCs/>
          <w:color w:val="5C6975"/>
          <w:sz w:val="19"/>
          <w:szCs w:val="19"/>
        </w:rPr>
        <w:t xml:space="preserve">arXiv</w:t>
      </w:r>
      <w:r>
        <w:rPr>
          <w:color w:val="5C6975"/>
          <w:sz w:val="19"/>
          <w:szCs w:val="19"/>
        </w:rPr>
        <w:t xml:space="preserve">. 2025; Preprint</w:t>
      </w:r>
      <w:r>
        <w:rPr>
          <w:color w:val="5C6975"/>
          <w:sz w:val="19"/>
          <w:szCs w:val="19"/>
        </w:rPr>
        <w:t xml:space="preserve">. DOI: </w:t>
      </w:r>
      <w:hyperlink r:id="rIdL13" w:history="1">
        <w:r>
          <w:rPr>
            <w:color w:val="1F4E79"/>
            <w:sz w:val="19"/>
            <w:szCs w:val="19"/>
          </w:rPr>
          <w:t xml:space="preserve">10.48550/arXiv.2504.13765</w:t>
        </w:r>
      </w:hyperlink>
    </w:p>
    <w:p>
      <w:pPr>
        <w:keepNext/>
        <w:spacing w:before="0" w:after="0"/>
      </w:pPr>
      <w:r>
        <w:rPr>
          <w:b/>
          <w:bCs/>
          <w:sz w:val="21"/>
          <w:szCs w:val="21"/>
        </w:rPr>
        <w:t xml:space="preserve">A Reproducible MFCC-Based Pipeline for L1 Classification in L2 English Pronunciation Using Python</w:t>
      </w:r>
    </w:p>
    <w:p>
      <w:pPr>
        <w:keepNext/>
        <w:spacing w:before="20" w:after="0"/>
      </w:pPr>
      <w:r>
        <w:rPr>
          <w:b/>
          <w:bCs/>
          <w:sz w:val="20"/>
          <w:szCs w:val="20"/>
        </w:rPr>
        <w:t xml:space="preserve">Peyman Jahanbin</w:t>
      </w:r>
    </w:p>
    <w:p>
      <w:pPr>
        <w:keepLines/>
        <w:spacing w:before="20" w:after="100"/>
      </w:pPr>
      <w:r>
        <w:rPr>
          <w:i/>
          <w:iCs/>
          <w:color w:val="5C6975"/>
          <w:sz w:val="19"/>
          <w:szCs w:val="19"/>
        </w:rPr>
        <w:t xml:space="preserve">Reproducible research artifact</w:t>
      </w:r>
      <w:r>
        <w:rPr>
          <w:color w:val="5C6975"/>
          <w:sz w:val="19"/>
          <w:szCs w:val="19"/>
        </w:rPr>
        <w:t xml:space="preserve">. 2025</w:t>
      </w:r>
    </w:p>
    <w:p>
      <w:pPr>
        <w:keepNext/>
        <w:pBdr>
          <w:bottom w:val="single" w:sz="10" w:space="2" w:color="B9C6D8"/>
        </w:pBdr>
        <w:spacing w:before="200" w:after="100"/>
      </w:pPr>
      <w:r>
        <w:rPr>
          <w:b/>
          <w:bCs/>
          <w:caps/>
          <w:color w:val="1F4E79"/>
          <w:sz w:val="23"/>
          <w:szCs w:val="23"/>
        </w:rPr>
        <w:t xml:space="preserve">Peer Review Service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Ad Hoc Reviewer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2023-2026</w:t>
            </w:r>
          </w:p>
        </w:tc>
      </w:tr>
    </w:tbl>
    <w:p>
      <w:pPr>
        <w:keepLines/>
        <w:spacing w:before="20" w:after="100"/>
      </w:pPr>
      <w:r>
        <w:rPr>
          <w:sz w:val="20"/>
          <w:szCs w:val="20"/>
        </w:rPr>
        <w:t xml:space="preserve">15 manuscript reviews for peer-reviewed journals.</w:t>
      </w:r>
    </w:p>
    <w:p>
      <w:pPr>
        <w:keepLines/>
        <w:spacing w:before="0" w:after="40"/>
        <w:ind w:left="360" w:hanging="240"/>
      </w:pPr>
      <w:r>
        <w:rPr>
          <w:sz w:val="20"/>
          <w:szCs w:val="20"/>
        </w:rPr>
        <w:t xml:space="preserve">•</w:t>
      </w:r>
      <w:r>
        <w:tab/>
      </w:r>
      <w:hyperlink r:id="rIdL14" w:history="1">
        <w:r>
          <w:rPr>
            <w:i/>
            <w:iCs/>
            <w:color w:val="1F4E79"/>
            <w:sz w:val="20"/>
            <w:szCs w:val="20"/>
          </w:rPr>
          <w:t xml:space="preserve">SAGE Open</w:t>
        </w:r>
      </w:hyperlink>
      <w:r>
        <w:rPr>
          <w:sz w:val="20"/>
          <w:szCs w:val="20"/>
        </w:rPr>
        <w:t xml:space="preserve">, 12 reviews</w:t>
      </w:r>
    </w:p>
    <w:p>
      <w:pPr>
        <w:keepLines/>
        <w:spacing w:before="0" w:after="40"/>
        <w:ind w:left="360" w:hanging="240"/>
      </w:pPr>
      <w:r>
        <w:rPr>
          <w:sz w:val="20"/>
          <w:szCs w:val="20"/>
        </w:rPr>
        <w:t xml:space="preserve">•</w:t>
      </w:r>
      <w:r>
        <w:tab/>
      </w:r>
      <w:hyperlink r:id="rIdL15" w:history="1">
        <w:r>
          <w:rPr>
            <w:i/>
            <w:iCs/>
            <w:color w:val="1F4E79"/>
            <w:sz w:val="20"/>
            <w:szCs w:val="20"/>
          </w:rPr>
          <w:t xml:space="preserve">Journal of Research on Technology in Education</w:t>
        </w:r>
      </w:hyperlink>
      <w:r>
        <w:rPr>
          <w:sz w:val="20"/>
          <w:szCs w:val="20"/>
        </w:rPr>
        <w:t xml:space="preserve">, 3 reviews</w:t>
      </w:r>
    </w:p>
    <w:p>
      <w:pPr>
        <w:keepNext/>
        <w:pBdr>
          <w:bottom w:val="single" w:sz="10" w:space="2" w:color="B9C6D8"/>
        </w:pBdr>
        <w:spacing w:before="200" w:after="100"/>
      </w:pPr>
      <w:r>
        <w:rPr>
          <w:b/>
          <w:bCs/>
          <w:caps/>
          <w:color w:val="1F4E79"/>
          <w:sz w:val="23"/>
          <w:szCs w:val="23"/>
        </w:rPr>
        <w:t xml:space="preserve">Research Projects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Dissertation: Validity and Fairness of Automated Speaking Assessment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2026-Present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University of Kansas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/>
            </w:r>
          </w:p>
        </w:tc>
      </w:tr>
    </w:tbl>
    <w:p>
      <w:pPr>
        <w:keepLines/>
        <w:spacing w:before="20" w:after="100"/>
      </w:pPr>
      <w:r>
        <w:rPr>
          <w:sz w:val="20"/>
          <w:szCs w:val="20"/>
        </w:rPr>
        <w:t xml:space="preserve">Examines agreement and meaningful disagreement between human audio ratings and transcript-based automated speaking scores in the Cambridge Speak &amp; Improve corpus, with emphasis on decision risk and predictors of discrepancy.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Explainable Machine Learning for L2 Pronunciation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2025-Present</w:t>
            </w:r>
          </w:p>
        </w:tc>
      </w:tr>
    </w:tbl>
    <w:p>
      <w:pPr>
        <w:keepLines/>
        <w:spacing w:before="20" w:after="100"/>
      </w:pPr>
      <w:r>
        <w:rPr>
          <w:sz w:val="20"/>
          <w:szCs w:val="20"/>
        </w:rPr>
        <w:t xml:space="preserve">Develops interpretable MFCC-based models of L1 influence in L2 pronunciation and reproducible workflows for feedback.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Seal of Biliteracy Policy, Equity, and Recognition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2025-Present</w:t>
            </w:r>
          </w:p>
        </w:tc>
      </w:tr>
    </w:tbl>
    <w:p>
      <w:pPr>
        <w:keepLines/>
        <w:spacing w:before="20" w:after="100"/>
      </w:pPr>
      <w:r>
        <w:rPr>
          <w:sz w:val="20"/>
          <w:szCs w:val="20"/>
        </w:rPr>
        <w:t xml:space="preserve">Examines implementation, equitable access, assessment pathways, postsecondary recognition, and real-world value of the Seal of Biliteracy.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English Learner Visibility in Kansas Public Reporting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2026-Present</w:t>
            </w:r>
          </w:p>
        </w:tc>
      </w:tr>
    </w:tbl>
    <w:p>
      <w:pPr>
        <w:keepLines/>
        <w:spacing w:before="20" w:after="100"/>
      </w:pPr>
      <w:r>
        <w:rPr>
          <w:sz w:val="20"/>
          <w:szCs w:val="20"/>
        </w:rPr>
        <w:t xml:space="preserve">Examines district-level English learner result reporting, subgroup visibility, and how cohort size shapes public reporting gaps.</w:t>
      </w:r>
    </w:p>
    <w:p>
      <w:pPr>
        <w:keepNext/>
        <w:pBdr>
          <w:bottom w:val="single" w:sz="10" w:space="2" w:color="B9C6D8"/>
        </w:pBdr>
        <w:spacing w:before="200" w:after="100"/>
      </w:pPr>
      <w:r>
        <w:rPr>
          <w:b/>
          <w:bCs/>
          <w:caps/>
          <w:color w:val="1F4E79"/>
          <w:sz w:val="23"/>
          <w:szCs w:val="23"/>
        </w:rPr>
        <w:t xml:space="preserve">Teaching Experience</w:t>
      </w:r>
    </w:p>
    <w:p>
      <w:pPr>
        <w:keepNext/>
        <w:spacing w:before="0" w:after="0"/>
      </w:pPr>
      <w:r>
        <w:rPr>
          <w:b/>
          <w:bCs/>
          <w:sz w:val="21"/>
          <w:szCs w:val="21"/>
        </w:rPr>
        <w:t xml:space="preserve">University of Kansas, Department of Curriculum &amp; Teaching</w:t>
      </w:r>
    </w:p>
    <w:p>
      <w:pPr>
        <w:keepNext/>
        <w:spacing w:before="0" w:after="60"/>
      </w:pPr>
      <w:r>
        <w:rPr>
          <w:i/>
          <w:iCs/>
          <w:color w:val="5C6975"/>
          <w:sz w:val="19"/>
          <w:szCs w:val="19"/>
        </w:rPr>
        <w:t xml:space="preserve">Instructor of Record (primary instructor) for seven distinct KU courses across 16 teaching assignments, 2023-2026.</w:t>
      </w:r>
    </w:p>
    <w:p>
      <w:pPr>
        <w:keepNext/>
        <w:spacing w:before="160" w:after="60"/>
      </w:pPr>
      <w:r>
        <w:rPr>
          <w:b/>
          <w:bCs/>
          <w:caps/>
          <w:color w:val="1F4E79"/>
          <w:sz w:val="21"/>
          <w:szCs w:val="21"/>
        </w:rPr>
        <w:t xml:space="preserve">Graduate Courses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7000"/>
        <w:gridCol w:w="3166"/>
      </w:tblGrid>
      <w:tr>
        <w:trPr>
          <w:cantSplit/>
        </w:trPr>
        <w:tc>
          <w:tcPr>
            <w:tcW w:w="7000" w:type="dxa"/>
          </w:tcPr>
          <w:p>
            <w:pPr>
              <w:keepNext/>
              <w:spacing w:before="0" w:after="60"/>
            </w:pPr>
            <w:r>
              <w:rPr>
                <w:b/>
                <w:bCs/>
                <w:sz w:val="20"/>
                <w:szCs w:val="20"/>
              </w:rPr>
              <w:t xml:space="preserve">C&amp;T 820 Teaching English as a Second Language/Bilingual Education</w:t>
            </w:r>
          </w:p>
        </w:tc>
        <w:tc>
          <w:tcPr>
            <w:tcW w:w="3166" w:type="dxa"/>
          </w:tcPr>
          <w:p>
            <w:pPr>
              <w:keepNext/>
              <w:spacing w:before="0" w:after="60"/>
              <w:jc w:val="right"/>
            </w:pPr>
            <w:r>
              <w:rPr>
                <w:color w:val="5C6975"/>
                <w:sz w:val="20"/>
                <w:szCs w:val="20"/>
              </w:rPr>
              <w:t xml:space="preserve">Fall 2026</w:t>
            </w:r>
          </w:p>
        </w:tc>
      </w:tr>
      <w:tr>
        <w:trPr>
          <w:cantSplit/>
        </w:trPr>
        <w:tc>
          <w:tcPr>
            <w:tcW w:w="7000" w:type="dxa"/>
          </w:tcPr>
          <w:p>
            <w:pPr>
              <w:keepNext/>
              <w:spacing w:before="0" w:after="60"/>
            </w:pPr>
            <w:r>
              <w:rPr>
                <w:b/>
                <w:bCs/>
                <w:sz w:val="20"/>
                <w:szCs w:val="20"/>
              </w:rPr>
              <w:t xml:space="preserve">C&amp;T 821 Assessment in Teaching English to Speakers of Other Languages (TESOL)</w:t>
            </w:r>
          </w:p>
        </w:tc>
        <w:tc>
          <w:tcPr>
            <w:tcW w:w="3166" w:type="dxa"/>
          </w:tcPr>
          <w:p>
            <w:pPr>
              <w:keepNext/>
              <w:spacing w:before="0" w:after="60"/>
              <w:jc w:val="right"/>
            </w:pPr>
            <w:r>
              <w:rPr>
                <w:color w:val="5C6975"/>
                <w:sz w:val="20"/>
                <w:szCs w:val="20"/>
              </w:rPr>
              <w:t xml:space="preserve">Fall 2024</w:t>
            </w:r>
          </w:p>
        </w:tc>
      </w:tr>
      <w:tr>
        <w:trPr>
          <w:cantSplit/>
        </w:trPr>
        <w:tc>
          <w:tcPr>
            <w:tcW w:w="7000" w:type="dxa"/>
          </w:tcPr>
          <w:p>
            <w:pPr>
              <w:spacing w:before="0" w:after="60"/>
            </w:pPr>
            <w:r>
              <w:rPr>
                <w:b/>
                <w:bCs/>
                <w:sz w:val="20"/>
                <w:szCs w:val="20"/>
              </w:rPr>
              <w:t xml:space="preserve">C&amp;T 825 Advanced Practicum in Teaching English to Speakers of Other Languages (TESOL)</w:t>
            </w:r>
          </w:p>
        </w:tc>
        <w:tc>
          <w:tcPr>
            <w:tcW w:w="3166" w:type="dxa"/>
          </w:tcPr>
          <w:p>
            <w:pPr>
              <w:spacing w:before="0" w:after="60"/>
              <w:jc w:val="right"/>
            </w:pPr>
            <w:r>
              <w:rPr>
                <w:color w:val="5C6975"/>
                <w:sz w:val="20"/>
                <w:szCs w:val="20"/>
              </w:rPr>
              <w:t xml:space="preserve">Fall 2025; Spring 2026</w:t>
            </w:r>
          </w:p>
        </w:tc>
      </w:tr>
    </w:tbl>
    <w:p>
      <w:pPr>
        <w:keepNext/>
        <w:spacing w:before="160" w:after="60"/>
      </w:pPr>
      <w:r>
        <w:rPr>
          <w:b/>
          <w:bCs/>
          <w:caps/>
          <w:color w:val="1F4E79"/>
          <w:sz w:val="21"/>
          <w:szCs w:val="21"/>
        </w:rPr>
        <w:t xml:space="preserve">Undergraduate Courses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7000"/>
        <w:gridCol w:w="3166"/>
      </w:tblGrid>
      <w:tr>
        <w:trPr>
          <w:cantSplit/>
        </w:trPr>
        <w:tc>
          <w:tcPr>
            <w:tcW w:w="7000" w:type="dxa"/>
          </w:tcPr>
          <w:p>
            <w:pPr>
              <w:keepNext/>
              <w:spacing w:before="0" w:after="60"/>
            </w:pPr>
            <w:r>
              <w:rPr>
                <w:b/>
                <w:bCs/>
                <w:sz w:val="20"/>
                <w:szCs w:val="20"/>
              </w:rPr>
              <w:t xml:space="preserve">C&amp;T 330 Instructional Approaches for ESOL Learners in the Elementary/Early Childhood Classroom</w:t>
            </w:r>
          </w:p>
        </w:tc>
        <w:tc>
          <w:tcPr>
            <w:tcW w:w="3166" w:type="dxa"/>
          </w:tcPr>
          <w:p>
            <w:pPr>
              <w:keepNext/>
              <w:spacing w:before="0" w:after="60"/>
              <w:jc w:val="right"/>
            </w:pPr>
            <w:r>
              <w:rPr>
                <w:color w:val="5C6975"/>
                <w:sz w:val="20"/>
                <w:szCs w:val="20"/>
              </w:rPr>
              <w:t xml:space="preserve">Spring 2024-Fall 2026 (6 terms)</w:t>
            </w:r>
          </w:p>
        </w:tc>
      </w:tr>
      <w:tr>
        <w:trPr>
          <w:cantSplit/>
        </w:trPr>
        <w:tc>
          <w:tcPr>
            <w:tcW w:w="7000" w:type="dxa"/>
          </w:tcPr>
          <w:p>
            <w:pPr>
              <w:keepNext/>
              <w:spacing w:before="0" w:after="60"/>
            </w:pPr>
            <w:r>
              <w:rPr>
                <w:b/>
                <w:bCs/>
                <w:sz w:val="20"/>
                <w:szCs w:val="20"/>
              </w:rPr>
              <w:t xml:space="preserve">C&amp;T 331 Instructional Approaches for ESOL Learners in the Middle/Secondary Classroom</w:t>
            </w:r>
          </w:p>
        </w:tc>
        <w:tc>
          <w:tcPr>
            <w:tcW w:w="3166" w:type="dxa"/>
          </w:tcPr>
          <w:p>
            <w:pPr>
              <w:keepNext/>
              <w:spacing w:before="0" w:after="60"/>
              <w:jc w:val="right"/>
            </w:pPr>
            <w:r>
              <w:rPr>
                <w:color w:val="5C6975"/>
                <w:sz w:val="20"/>
                <w:szCs w:val="20"/>
              </w:rPr>
              <w:t xml:space="preserve">Spring 2025</w:t>
            </w:r>
          </w:p>
        </w:tc>
      </w:tr>
      <w:tr>
        <w:trPr>
          <w:cantSplit/>
        </w:trPr>
        <w:tc>
          <w:tcPr>
            <w:tcW w:w="7000" w:type="dxa"/>
          </w:tcPr>
          <w:p>
            <w:pPr>
              <w:spacing w:before="0" w:after="60"/>
            </w:pPr>
            <w:r>
              <w:rPr>
                <w:b/>
                <w:bCs/>
                <w:sz w:val="20"/>
                <w:szCs w:val="20"/>
              </w:rPr>
              <w:t xml:space="preserve">C&amp;T 423 Assessing English Language Learners</w:t>
            </w:r>
          </w:p>
        </w:tc>
        <w:tc>
          <w:tcPr>
            <w:tcW w:w="3166" w:type="dxa"/>
          </w:tcPr>
          <w:p>
            <w:pPr>
              <w:spacing w:before="0" w:after="60"/>
              <w:jc w:val="right"/>
            </w:pPr>
            <w:r>
              <w:rPr>
                <w:color w:val="5C6975"/>
                <w:sz w:val="20"/>
                <w:szCs w:val="20"/>
              </w:rPr>
              <w:t xml:space="preserve">Summers 2025 &amp; 2026</w:t>
            </w:r>
          </w:p>
        </w:tc>
      </w:tr>
    </w:tbl>
    <w:p>
      <w:pPr>
        <w:keepNext/>
        <w:spacing w:before="160" w:after="60"/>
      </w:pPr>
      <w:r>
        <w:rPr>
          <w:b/>
          <w:bCs/>
          <w:caps/>
          <w:color w:val="1F4E79"/>
          <w:sz w:val="21"/>
          <w:szCs w:val="21"/>
        </w:rPr>
        <w:t xml:space="preserve">Teacher Education Foundations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7000"/>
        <w:gridCol w:w="3166"/>
      </w:tblGrid>
      <w:tr>
        <w:trPr>
          <w:cantSplit/>
        </w:trPr>
        <w:tc>
          <w:tcPr>
            <w:tcW w:w="7000" w:type="dxa"/>
          </w:tcPr>
          <w:p>
            <w:pPr>
              <w:spacing w:before="0" w:after="60"/>
            </w:pPr>
            <w:r>
              <w:rPr>
                <w:b/>
                <w:bCs/>
                <w:sz w:val="20"/>
                <w:szCs w:val="20"/>
              </w:rPr>
              <w:t xml:space="preserve">C&amp;T 235 Cultural Diversity, Equity, and Inclusion in K-12 Schools</w:t>
            </w:r>
          </w:p>
        </w:tc>
        <w:tc>
          <w:tcPr>
            <w:tcW w:w="3166" w:type="dxa"/>
          </w:tcPr>
          <w:p>
            <w:pPr>
              <w:spacing w:before="0" w:after="60"/>
              <w:jc w:val="right"/>
            </w:pPr>
            <w:r>
              <w:rPr>
                <w:color w:val="5C6975"/>
                <w:sz w:val="20"/>
                <w:szCs w:val="20"/>
              </w:rPr>
              <w:t xml:space="preserve">Fall 2023 (2 sections); Spring 2024</w:t>
            </w:r>
          </w:p>
        </w:tc>
      </w:tr>
    </w:tbl>
    <w:p>
      <w:pPr>
        <w:keepNext/>
        <w:pBdr>
          <w:bottom w:val="single" w:sz="10" w:space="2" w:color="B9C6D8"/>
        </w:pBdr>
        <w:spacing w:before="200" w:after="100"/>
      </w:pPr>
      <w:r>
        <w:rPr>
          <w:b/>
          <w:bCs/>
          <w:caps/>
          <w:color w:val="1F4E79"/>
          <w:sz w:val="23"/>
          <w:szCs w:val="23"/>
        </w:rPr>
        <w:t xml:space="preserve">Selected Conference Presentations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Beyond Symbolic Recognition: Examining Access, Fidelity, and Student Outcomes in the Seal of Biliteracy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October 2026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spacing w:before="0" w:after="10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MIDTESOL 2027</w:t>
            </w:r>
          </w:p>
        </w:tc>
        <w:tc>
          <w:tcPr>
            <w:tcW w:w="3566" w:type="dxa"/>
          </w:tcPr>
          <w:p>
            <w:pPr>
              <w:spacing w:before="0" w:after="10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Overland Park, KS</w:t>
            </w:r>
          </w:p>
        </w:tc>
      </w:tr>
    </w:tbl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Campus Climate Counts: Insights on Institutional Versus Individual Predictors of Academic AI Integrity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April 2026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spacing w:before="0" w:after="10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American Educational Research Association (AERA) Annual Meeting</w:t>
            </w:r>
          </w:p>
        </w:tc>
        <w:tc>
          <w:tcPr>
            <w:tcW w:w="3566" w:type="dxa"/>
          </w:tcPr>
          <w:p>
            <w:pPr>
              <w:spacing w:before="0" w:after="10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Los Angeles, CA</w:t>
            </w:r>
          </w:p>
        </w:tc>
      </w:tr>
    </w:tbl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Machine Learning in the Service of Second Language Learning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October 2025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spacing w:before="0" w:after="10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SCIPIE, University of Oklahoma</w:t>
            </w:r>
          </w:p>
        </w:tc>
        <w:tc>
          <w:tcPr>
            <w:tcW w:w="3566" w:type="dxa"/>
          </w:tcPr>
          <w:p>
            <w:pPr>
              <w:spacing w:before="0" w:after="10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Norman, OK</w:t>
            </w:r>
          </w:p>
        </w:tc>
      </w:tr>
    </w:tbl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EFL Learners Excel: Incidental Grammar Learning through Audio-Assisted Reading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October 2024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spacing w:before="0" w:after="10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MIDTESOL</w:t>
            </w:r>
          </w:p>
        </w:tc>
        <w:tc>
          <w:tcPr>
            <w:tcW w:w="3566" w:type="dxa"/>
          </w:tcPr>
          <w:p>
            <w:pPr>
              <w:spacing w:before="0" w:after="10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sz="10" w:space="2" w:color="B9C6D8"/>
        </w:pBdr>
        <w:spacing w:before="200" w:after="100"/>
      </w:pPr>
      <w:r>
        <w:rPr>
          <w:b/>
          <w:bCs/>
          <w:caps/>
          <w:color w:val="1F4E79"/>
          <w:sz w:val="23"/>
          <w:szCs w:val="23"/>
        </w:rPr>
        <w:t xml:space="preserve">Research Methods &amp; Technical Skills</w:t>
      </w:r>
    </w:p>
    <w:p>
      <w:pPr>
        <w:keepLines/>
        <w:spacing w:before="0" w:after="40"/>
        <w:ind w:left="360" w:hanging="240"/>
      </w:pPr>
      <w:r>
        <w:rPr>
          <w:sz w:val="20"/>
          <w:szCs w:val="20"/>
        </w:rPr>
        <w:t xml:space="preserve">•</w:t>
      </w:r>
      <w:r>
        <w:tab/>
      </w:r>
      <w:r>
        <w:rPr>
          <w:b/>
          <w:bCs/>
          <w:sz w:val="20"/>
          <w:szCs w:val="20"/>
        </w:rPr>
        <w:t xml:space="preserve">Quantitative and psychometric methods:</w:t>
      </w:r>
      <w:r>
        <w:rPr>
          <w:sz w:val="20"/>
          <w:szCs w:val="20"/>
        </w:rPr>
        <w:t xml:space="preserve"> regression and generalized linear models, multivariate and multilevel modeling, item response theory and Rasch-family models (LLTM), scoring agreement and error analysis, cut-score and decision-risk analysis, bootstrap confidence intervals, and predictive modeling and classification.</w:t>
      </w:r>
    </w:p>
    <w:p>
      <w:pPr>
        <w:keepLines/>
        <w:spacing w:before="0" w:after="40"/>
        <w:ind w:left="360" w:hanging="240"/>
      </w:pPr>
      <w:r>
        <w:rPr>
          <w:sz w:val="20"/>
          <w:szCs w:val="20"/>
        </w:rPr>
        <w:t xml:space="preserve">•</w:t>
      </w:r>
      <w:r>
        <w:tab/>
      </w:r>
      <w:r>
        <w:rPr>
          <w:b/>
          <w:bCs/>
          <w:sz w:val="20"/>
          <w:szCs w:val="20"/>
        </w:rPr>
        <w:t xml:space="preserve">Programming and analysis:</w:t>
      </w:r>
      <w:r>
        <w:rPr>
          <w:sz w:val="20"/>
          <w:szCs w:val="20"/>
        </w:rPr>
        <w:t xml:space="preserve"> R (tidyverse, ggplot2, R Markdown/Quarto), Python, and IBM SPSS.</w:t>
      </w:r>
    </w:p>
    <w:p>
      <w:pPr>
        <w:keepLines/>
        <w:spacing w:before="0" w:after="40"/>
        <w:ind w:left="360" w:hanging="240"/>
      </w:pPr>
      <w:r>
        <w:rPr>
          <w:sz w:val="20"/>
          <w:szCs w:val="20"/>
        </w:rPr>
        <w:t xml:space="preserve">•</w:t>
      </w:r>
      <w:r>
        <w:tab/>
      </w:r>
      <w:r>
        <w:rPr>
          <w:b/>
          <w:bCs/>
          <w:sz w:val="20"/>
          <w:szCs w:val="20"/>
        </w:rPr>
        <w:t xml:space="preserve">Computational language research:</w:t>
      </w:r>
      <w:r>
        <w:rPr>
          <w:sz w:val="20"/>
          <w:szCs w:val="20"/>
        </w:rPr>
        <w:t xml:space="preserve"> automated scoring evaluation, MFCC analysis, explainable machine learning, reproducible workflows, and corpus analysis.</w:t>
      </w:r>
    </w:p>
    <w:p>
      <w:pPr>
        <w:keepLines/>
        <w:spacing w:before="0" w:after="40"/>
        <w:ind w:left="360" w:hanging="240"/>
      </w:pPr>
      <w:r>
        <w:rPr>
          <w:sz w:val="20"/>
          <w:szCs w:val="20"/>
        </w:rPr>
        <w:t xml:space="preserve">•</w:t>
      </w:r>
      <w:r>
        <w:tab/>
      </w:r>
      <w:r>
        <w:rPr>
          <w:b/>
          <w:bCs/>
          <w:sz w:val="20"/>
          <w:szCs w:val="20"/>
        </w:rPr>
        <w:t xml:space="preserve">Qualitative research:</w:t>
      </w:r>
      <w:r>
        <w:rPr>
          <w:sz w:val="20"/>
          <w:szCs w:val="20"/>
        </w:rPr>
        <w:t xml:space="preserve"> interview inquiry, thematic analysis, integrative review, and policy and document analysis.</w:t>
      </w:r>
    </w:p>
    <w:p>
      <w:pPr>
        <w:keepNext/>
        <w:pBdr>
          <w:bottom w:val="single" w:sz="10" w:space="2" w:color="B9C6D8"/>
        </w:pBdr>
        <w:spacing w:before="200" w:after="100"/>
      </w:pPr>
      <w:r>
        <w:rPr>
          <w:b/>
          <w:bCs/>
          <w:caps/>
          <w:color w:val="1F4E79"/>
          <w:sz w:val="23"/>
          <w:szCs w:val="23"/>
        </w:rPr>
        <w:t xml:space="preserve">Methodological Training</w:t>
      </w:r>
    </w:p>
    <w:p>
      <w:pPr>
        <w:keepLines/>
        <w:spacing w:before="0" w:after="40"/>
        <w:ind w:left="360" w:hanging="240"/>
      </w:pPr>
      <w:r>
        <w:rPr>
          <w:sz w:val="20"/>
          <w:szCs w:val="20"/>
        </w:rPr>
        <w:t xml:space="preserve">•</w:t>
      </w:r>
      <w:r>
        <w:tab/>
      </w:r>
      <w:r>
        <w:rPr>
          <w:b/>
          <w:bCs/>
          <w:sz w:val="20"/>
          <w:szCs w:val="20"/>
        </w:rPr>
        <w:t xml:space="preserve">Quantitative:</w:t>
      </w:r>
      <w:r>
        <w:rPr>
          <w:sz w:val="20"/>
          <w:szCs w:val="20"/>
        </w:rPr>
        <w:t xml:space="preserve"> EPSY 710 Introductory Statistical Analysis; EPSY 905 Fundamentals of Multivariate Modeling; advanced quantitative methods.</w:t>
      </w:r>
    </w:p>
    <w:p>
      <w:pPr>
        <w:keepLines/>
        <w:spacing w:before="0" w:after="40"/>
        <w:ind w:left="360" w:hanging="240"/>
      </w:pPr>
      <w:r>
        <w:rPr>
          <w:sz w:val="20"/>
          <w:szCs w:val="20"/>
        </w:rPr>
        <w:t xml:space="preserve">•</w:t>
      </w:r>
      <w:r>
        <w:tab/>
      </w:r>
      <w:r>
        <w:rPr>
          <w:b/>
          <w:bCs/>
          <w:sz w:val="20"/>
          <w:szCs w:val="20"/>
        </w:rPr>
        <w:t xml:space="preserve">Qualitative:</w:t>
      </w:r>
      <w:r>
        <w:rPr>
          <w:sz w:val="20"/>
          <w:szCs w:val="20"/>
        </w:rPr>
        <w:t xml:space="preserve"> C&amp;T 808 Qualitative Research: Curriculum Inquiry.</w:t>
      </w:r>
    </w:p>
    <w:p>
      <w:pPr>
        <w:keepLines/>
        <w:spacing w:before="0" w:after="40"/>
        <w:ind w:left="360" w:hanging="240"/>
      </w:pPr>
      <w:r>
        <w:rPr>
          <w:sz w:val="20"/>
          <w:szCs w:val="20"/>
        </w:rPr>
        <w:t xml:space="preserve">•</w:t>
      </w:r>
      <w:r>
        <w:tab/>
      </w:r>
      <w:r>
        <w:rPr>
          <w:b/>
          <w:bCs/>
          <w:sz w:val="20"/>
          <w:szCs w:val="20"/>
        </w:rPr>
        <w:t xml:space="preserve">Research design and teaching:</w:t>
      </w:r>
      <w:r>
        <w:rPr>
          <w:sz w:val="20"/>
          <w:szCs w:val="20"/>
        </w:rPr>
        <w:t xml:space="preserve"> LA&amp;S 720 Introduction to Language Teaching Research; C&amp;T 996 Teaching and Learning in the College Classroom.</w:t>
      </w:r>
    </w:p>
    <w:p>
      <w:pPr>
        <w:keepNext/>
        <w:pBdr>
          <w:bottom w:val="single" w:sz="10" w:space="2" w:color="B9C6D8"/>
        </w:pBdr>
        <w:spacing w:before="200" w:after="100"/>
      </w:pPr>
      <w:r>
        <w:rPr>
          <w:b/>
          <w:bCs/>
          <w:caps/>
          <w:color w:val="1F4E79"/>
          <w:sz w:val="23"/>
          <w:szCs w:val="23"/>
        </w:rPr>
        <w:t xml:space="preserve">Academic &amp; Professional Service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Graduate Student Advisory Board Member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2025-2026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spacing w:before="0" w:after="10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School of Education and Human Sciences, University of Kansas</w:t>
            </w:r>
          </w:p>
        </w:tc>
        <w:tc>
          <w:tcPr>
            <w:tcW w:w="3566" w:type="dxa"/>
          </w:tcPr>
          <w:p>
            <w:pPr>
              <w:spacing w:before="0" w:after="10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Lawrence, KS</w:t>
            </w:r>
          </w:p>
        </w:tc>
      </w:tr>
    </w:tbl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Head of English Translation Board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2018-2020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Armenian Ethnography Museum at Vank Cathedral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Isfahan, Iran</w:t>
            </w:r>
          </w:p>
        </w:tc>
      </w:tr>
    </w:tbl>
    <w:p>
      <w:pPr>
        <w:keepLines/>
        <w:spacing w:before="20" w:after="100"/>
      </w:pPr>
      <w:r>
        <w:rPr>
          <w:sz w:val="20"/>
          <w:szCs w:val="20"/>
        </w:rPr>
        <w:t xml:space="preserve">Supervised content for a biweekly English-language magazine.</w:t>
      </w:r>
    </w:p>
    <w:tbl>
      <w:tblPr>
        <w:tblW w:w="10166" w:type="dxa"/>
        <w:tblLayout w:type="fixed"/>
        <w:tblCellMar>
          <w:left w:w="0" w:type="dxa"/>
          <w:right w:w="0" w:type="dxa"/>
        </w:tblCellMar>
      </w:tblPr>
      <w:tblGrid>
        <w:gridCol w:w="6600"/>
        <w:gridCol w:w="3566"/>
      </w:tblGrid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b/>
                <w:bCs/>
                <w:sz w:val="21"/>
                <w:szCs w:val="21"/>
              </w:rPr>
              <w:t xml:space="preserve">President, Students Scientific Association, Faculty of Foreign Languages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2017-2018</w:t>
            </w:r>
          </w:p>
        </w:tc>
      </w:tr>
      <w:tr>
        <w:trPr>
          <w:cantSplit/>
        </w:trPr>
        <w:tc>
          <w:tcPr>
            <w:tcW w:w="6600" w:type="dxa"/>
          </w:tcPr>
          <w:p>
            <w:pPr>
              <w:keepNext/>
              <w:spacing w:before="0" w:after="0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University of Isfahan</w:t>
            </w:r>
          </w:p>
        </w:tc>
        <w:tc>
          <w:tcPr>
            <w:tcW w:w="3566" w:type="dxa"/>
          </w:tcPr>
          <w:p>
            <w:pPr>
              <w:keepNext/>
              <w:spacing w:before="0" w:after="0"/>
              <w:jc w:val="right"/>
            </w:pPr>
            <w:r>
              <w:rPr>
                <w:i/>
                <w:iCs/>
                <w:color w:val="5C6975"/>
                <w:sz w:val="19"/>
                <w:szCs w:val="19"/>
              </w:rPr>
              <w:t xml:space="preserve">Isfahan, Iran</w:t>
            </w:r>
          </w:p>
        </w:tc>
      </w:tr>
    </w:tbl>
    <w:p>
      <w:pPr>
        <w:keepLines/>
        <w:spacing w:before="20" w:after="100"/>
      </w:pPr>
      <w:r>
        <w:rPr>
          <w:sz w:val="20"/>
          <w:szCs w:val="20"/>
        </w:rPr>
        <w:t xml:space="preserve">Planned and organized conferences, workshops, and classes, including national and international events.</w:t>
      </w:r>
    </w:p>
    <w:p>
      <w:pPr>
        <w:keepNext/>
        <w:pBdr>
          <w:bottom w:val="single" w:sz="10" w:space="2" w:color="B9C6D8"/>
        </w:pBdr>
        <w:spacing w:before="200" w:after="100"/>
      </w:pPr>
      <w:r>
        <w:rPr>
          <w:b/>
          <w:bCs/>
          <w:caps/>
          <w:color w:val="1F4E79"/>
          <w:sz w:val="23"/>
          <w:szCs w:val="23"/>
        </w:rPr>
        <w:t xml:space="preserve">Awards, Scholarships &amp; Honors</w:t>
      </w:r>
    </w:p>
    <w:p>
      <w:pPr>
        <w:keepLines/>
        <w:spacing w:before="0" w:after="20"/>
      </w:pPr>
      <w:r>
        <w:rPr>
          <w:b/>
          <w:bCs/>
          <w:sz w:val="20"/>
          <w:szCs w:val="20"/>
        </w:rPr>
        <w:t xml:space="preserve">School of Education Recognition Scholarship</w:t>
      </w:r>
      <w:r>
        <w:rPr>
          <w:sz w:val="20"/>
          <w:szCs w:val="20"/>
        </w:rPr>
        <w:t xml:space="preserve">, University of Kansas</w:t>
      </w:r>
    </w:p>
    <w:p>
      <w:pPr>
        <w:keepLines/>
        <w:spacing w:before="0" w:after="20"/>
      </w:pPr>
      <w:r>
        <w:rPr>
          <w:b/>
          <w:bCs/>
          <w:sz w:val="20"/>
          <w:szCs w:val="20"/>
        </w:rPr>
        <w:t xml:space="preserve">ERB Karen Simmons Scholarship</w:t>
      </w:r>
      <w:r>
        <w:rPr>
          <w:sz w:val="20"/>
          <w:szCs w:val="20"/>
        </w:rPr>
        <w:t xml:space="preserve">, University of Kansas</w:t>
      </w:r>
    </w:p>
    <w:p>
      <w:pPr>
        <w:keepLines/>
        <w:spacing w:before="0" w:after="20"/>
      </w:pPr>
      <w:r>
        <w:rPr>
          <w:b/>
          <w:bCs/>
          <w:sz w:val="20"/>
          <w:szCs w:val="20"/>
        </w:rPr>
        <w:t xml:space="preserve">Ronald K. and Barbara D. Spry Student Support</w:t>
      </w:r>
      <w:r>
        <w:rPr>
          <w:sz w:val="20"/>
          <w:szCs w:val="20"/>
        </w:rPr>
        <w:t xml:space="preserve">, University of Kansas</w:t>
      </w:r>
    </w:p>
    <w:p>
      <w:pPr>
        <w:keepLines/>
        <w:spacing w:before="0" w:after="20"/>
      </w:pPr>
      <w:r>
        <w:rPr>
          <w:b/>
          <w:bCs/>
          <w:sz w:val="20"/>
          <w:szCs w:val="20"/>
        </w:rPr>
        <w:t xml:space="preserve">Helen Rowles Hansen Scholarship</w:t>
      </w:r>
      <w:r>
        <w:rPr>
          <w:sz w:val="20"/>
          <w:szCs w:val="20"/>
        </w:rPr>
        <w:t xml:space="preserve">, University of Kansas</w:t>
      </w:r>
    </w:p>
    <w:p>
      <w:pPr>
        <w:keepLines/>
        <w:spacing w:before="0" w:after="20"/>
      </w:pPr>
      <w:r>
        <w:rPr>
          <w:b/>
          <w:bCs/>
          <w:sz w:val="20"/>
          <w:szCs w:val="20"/>
        </w:rPr>
        <w:t xml:space="preserve">William S. Lashier Jr. Scholarship in Education</w:t>
      </w:r>
      <w:r>
        <w:rPr>
          <w:sz w:val="20"/>
          <w:szCs w:val="20"/>
        </w:rPr>
        <w:t xml:space="preserve">, University of Kansas</w:t>
      </w:r>
    </w:p>
    <w:p>
      <w:pPr>
        <w:keepLines/>
        <w:spacing w:before="0" w:after="20"/>
      </w:pPr>
      <w:r>
        <w:rPr>
          <w:b/>
          <w:bCs/>
          <w:sz w:val="20"/>
          <w:szCs w:val="20"/>
        </w:rPr>
        <w:t xml:space="preserve">Distinguished Instructor</w:t>
      </w:r>
      <w:r>
        <w:rPr>
          <w:sz w:val="20"/>
          <w:szCs w:val="20"/>
        </w:rPr>
        <w:t xml:space="preserve">, University of Isfahan  |  2019</w:t>
      </w:r>
    </w:p>
    <w:p>
      <w:pPr>
        <w:keepLines/>
        <w:spacing w:before="0" w:after="20"/>
      </w:pPr>
      <w:r>
        <w:rPr>
          <w:b/>
          <w:bCs/>
          <w:sz w:val="20"/>
          <w:szCs w:val="20"/>
        </w:rPr>
        <w:t xml:space="preserve">Ranked 99th nationally</w:t>
      </w:r>
      <w:r>
        <w:rPr>
          <w:sz w:val="20"/>
          <w:szCs w:val="20"/>
        </w:rPr>
        <w:t xml:space="preserve">, B.A. Public Entrance Exam  |  2016</w:t>
      </w:r>
    </w:p>
    <w:p>
      <w:pPr>
        <w:keepNext/>
        <w:pBdr>
          <w:bottom w:val="single" w:sz="10" w:space="2" w:color="B9C6D8"/>
        </w:pBdr>
        <w:spacing w:before="200" w:after="100"/>
      </w:pPr>
      <w:r>
        <w:rPr>
          <w:b/>
          <w:bCs/>
          <w:caps/>
          <w:color w:val="1F4E79"/>
          <w:sz w:val="23"/>
          <w:szCs w:val="23"/>
        </w:rPr>
        <w:t xml:space="preserve">Languages</w:t>
      </w:r>
    </w:p>
    <w:p>
      <w:pPr>
        <w:spacing w:before="0" w:after="0"/>
      </w:pPr>
      <w:r>
        <w:rPr>
          <w:b/>
          <w:bCs/>
          <w:sz w:val="20"/>
          <w:szCs w:val="20"/>
        </w:rPr>
        <w:t xml:space="preserve">Farsi</w:t>
      </w:r>
      <w:r>
        <w:rPr>
          <w:sz w:val="20"/>
          <w:szCs w:val="20"/>
        </w:rPr>
        <w:t xml:space="preserve"> (native)</w:t>
      </w:r>
      <w:r>
        <w:rPr>
          <w:sz w:val="20"/>
          <w:szCs w:val="20"/>
        </w:rPr>
        <w:t xml:space="preserve">   |   </w:t>
      </w:r>
      <w:r>
        <w:rPr>
          <w:b/>
          <w:bCs/>
          <w:sz w:val="20"/>
          <w:szCs w:val="20"/>
        </w:rPr>
        <w:t xml:space="preserve">Qashqai-Turkish</w:t>
      </w:r>
      <w:r>
        <w:rPr>
          <w:sz w:val="20"/>
          <w:szCs w:val="20"/>
        </w:rPr>
        <w:t xml:space="preserve"> (heritage/native-level)</w:t>
      </w:r>
      <w:r>
        <w:rPr>
          <w:sz w:val="20"/>
          <w:szCs w:val="20"/>
        </w:rPr>
        <w:t xml:space="preserve">   |   </w:t>
      </w:r>
      <w:r>
        <w:rPr>
          <w:b/>
          <w:bCs/>
          <w:sz w:val="20"/>
          <w:szCs w:val="20"/>
        </w:rPr>
        <w:t xml:space="preserve">English</w:t>
      </w:r>
      <w:r>
        <w:rPr>
          <w:sz w:val="20"/>
          <w:szCs w:val="20"/>
        </w:rPr>
        <w:t xml:space="preserve"> (C2 / full professional proficiency)</w:t>
      </w:r>
    </w:p>
    <w:sectPr>
      <w:footerReference w:type="default" r:id="rIdF1"/>
      <w:pgSz w:w="12240" w:h="15840"/>
      <w:pgMar w:top="864" w:right="1037" w:bottom="1152" w:left="1037" w:header="720" w:footer="56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5C6975"/>
        <w:sz w:val="18"/>
        <w:szCs w:val="18"/>
      </w:rPr>
      <w:t xml:space="preserve">Peyman Jahanbin | Academic Curriculum Vitae | Updated October 2026 | Page </w:t>
    </w:r>
    <w:r>
      <w:rPr>
        <w:color w:val="5C6975"/>
        <w:sz w:val="18"/>
        <w:szCs w:val="18"/>
      </w:rPr>
      <w:fldChar w:fldCharType="begin"/>
    </w:r>
    <w:r>
      <w:rPr>
        <w:color w:val="5C6975"/>
        <w:sz w:val="18"/>
        <w:szCs w:val="18"/>
      </w:rPr>
      <w:instrText xml:space="preserve"> PAGE </w:instrText>
    </w:r>
    <w:r>
      <w:rPr>
        <w:color w:val="5C6975"/>
        <w:sz w:val="18"/>
        <w:szCs w:val="18"/>
      </w:rPr>
      <w:fldChar w:fldCharType="separate"/>
    </w:r>
    <w:r>
      <w:rPr>
        <w:color w:val="5C6975"/>
        <w:sz w:val="18"/>
        <w:szCs w:val="18"/>
      </w:rPr>
      <w:t>1</w:t>
    </w:r>
    <w:r>
      <w:rPr>
        <w:color w:val="5C6975"/>
        <w:sz w:val="18"/>
        <w:szCs w:val="18"/>
      </w:rPr>
      <w:fldChar w:fldCharType="end"/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mbria" w:hAnsi="Cambria" w:eastAsia="Cambria" w:cs="Cambria"/>
        <w:color w:val="202124"/>
        <w:sz w:val="20"/>
        <w:szCs w:val="20"/>
        <w:lang w:val="en-US"/>
      </w:rPr>
    </w:rPrDefault>
    <w:pPrDefault>
      <w:pPr>
        <w:spacing w:after="0" w:line="252" w:lineRule="auto"/>
      </w:pPr>
    </w:pPrDefault>
  </w:docDefaults>
  <w:style w:type="paragraph" w:default="1" w:styleId="Normal">
    <w:name w:val="Normal"/>
    <w:qFormat/>
  </w:style>
  <w:style w:type="character" w:styleId="Hyperlink">
    <w:name w:val="Hyperlink"/>
    <w:rPr>
      <w:color w:val="1F4E79"/>
    </w:rPr>
  </w:style>
</w:styles>
</file>

<file path=word/_rels/document.xml.rels><?xml version="1.0" encoding="UTF-8" standalone="yes"?><Relationships xmlns="http://schemas.openxmlformats.org/package/2006/relationships"><Relationship Id="rIdS1" Type="http://schemas.openxmlformats.org/officeDocument/2006/relationships/styles" Target="styles.xml"/><Relationship Id="rIdF1" Type="http://schemas.openxmlformats.org/officeDocument/2006/relationships/footer" Target="footer1.xml"/><Relationship Id="rIdL1" Type="http://schemas.openxmlformats.org/officeDocument/2006/relationships/hyperlink" Target="mailto:Peyman@KU.edu" TargetMode="External"/><Relationship Id="rIdL2" Type="http://schemas.openxmlformats.org/officeDocument/2006/relationships/hyperlink" Target="https://www.linkedin.com/in/jpeyman/" TargetMode="External"/><Relationship Id="rIdL3" Type="http://schemas.openxmlformats.org/officeDocument/2006/relationships/hyperlink" Target="https://scholar.google.com/citations?user=wlhGmcEAAAAJ&amp;hl=en" TargetMode="External"/><Relationship Id="rIdL4" Type="http://schemas.openxmlformats.org/officeDocument/2006/relationships/hyperlink" Target="https://doi.org/10.1002/tesq.70236" TargetMode="External"/><Relationship Id="rIdL5" Type="http://schemas.openxmlformats.org/officeDocument/2006/relationships/hyperlink" Target="https://doi.org/10.5937/IstrPed2602146F" TargetMode="External"/><Relationship Id="rIdL6" Type="http://schemas.openxmlformats.org/officeDocument/2006/relationships/hyperlink" Target="https://doi.org/10.1007/s41701-025-00190-9" TargetMode="External"/><Relationship Id="rIdL7" Type="http://schemas.openxmlformats.org/officeDocument/2006/relationships/hyperlink" Target="https://doi.org/10.52783/jisem.v10i48s.9574" TargetMode="External"/><Relationship Id="rIdL8" Type="http://schemas.openxmlformats.org/officeDocument/2006/relationships/hyperlink" Target="https://doi.org/10.52783/jisem.v10i48s.9576" TargetMode="External"/><Relationship Id="rIdL9" Type="http://schemas.openxmlformats.org/officeDocument/2006/relationships/hyperlink" Target="https://doi.org/10.1515/edu-2024-0043" TargetMode="External"/><Relationship Id="rIdL10" Type="http://schemas.openxmlformats.org/officeDocument/2006/relationships/hyperlink" Target="https://doi.org/10.21203/rs.3.rs-11286301/v1" TargetMode="External"/><Relationship Id="rIdL11" Type="http://schemas.openxmlformats.org/officeDocument/2006/relationships/hyperlink" Target="https://doi.org/10.48550/arXiv.2610.02582" TargetMode="External"/><Relationship Id="rIdL12" Type="http://schemas.openxmlformats.org/officeDocument/2006/relationships/hyperlink" Target="https://doi.org/10.21203/rs.3.rs-7032497/v1" TargetMode="External"/><Relationship Id="rIdL13" Type="http://schemas.openxmlformats.org/officeDocument/2006/relationships/hyperlink" Target="https://doi.org/10.48550/arXiv.2504.13765" TargetMode="External"/><Relationship Id="rIdL14" Type="http://schemas.openxmlformats.org/officeDocument/2006/relationships/hyperlink" Target="https://journals.sagepub.com/home/sgo" TargetMode="External"/><Relationship Id="rIdL15" Type="http://schemas.openxmlformats.org/officeDocument/2006/relationships/hyperlink" Target="https://www.tandfonline.com/journals/ujrt20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Peyman Jahanbin, Curriculum Vitae</dc:title>
  <dc:creator>Peyman Jahanbin</dc:creator>
</cp:coreProperties>
</file>