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 w:line="3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Phase 1: Launch (1 May 2026)</w:t>
      </w:r>
    </w:p>
    <w:p>
      <w:pPr>
        <w:spacing w:after="160" w:before="0" w:line="28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API-first architecture using Vertex AI Gemini on Google Cloud. Monthly cost: R4,470.</w:t>
      </w:r>
    </w:p>
    <w:p>
      <w:pPr>
        <w:spacing w:after="80"/>
      </w:pPr>
    </w:p>
    <w:p>
      <w:pPr>
        <w:spacing w:after="60" w:before="0" w:line="280"/>
        <w:jc w:val="left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DATA SOURCES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00"/>
        <w:gridCol w:w="3300"/>
        <w:gridCol w:w="400"/>
        <w:gridCol w:w="3300"/>
        <w:gridCol w:w="400"/>
        <w:gridCol w:w="3580"/>
      </w:tblGrid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EnsembleData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R3,700/mo  |  TikTok, Instagram, Threads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YouTube Data API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Free  |  Search-based, NG/ZA/KE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GDELT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Free  |  News, 15-min updates via BigQuery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RSS Feeds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Free  |  ZA, NG, KE + AllAfrica</w:t>
            </w:r>
          </w:p>
        </w:tc>
      </w:tr>
    </w:tbl>
    <w:p>
      <w:pPr>
        <w:spacing w:after="40"/>
      </w:pPr>
    </w:p>
    <w:p>
      <w:pPr>
        <w:spacing w:after="40" w:before="0" w:line="2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↓          ↓          ↓          ↓          ↓</w:t>
      </w:r>
    </w:p>
    <w:p>
      <w:pPr>
        <w:spacing w:after="60" w:before="0" w:line="280"/>
        <w:jc w:val="left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INGESTION AND ENRICHMENT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Cloud Run Function: Ingest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Runs 3x daily (6AM, 1PM, 6PM SAST)  |  Enriches with topic detection, slang scoring, market assignment  |  Validates data quality</w:t>
            </w:r>
          </w:p>
        </w:tc>
      </w:tr>
    </w:tbl>
    <w:p>
      <w:pPr>
        <w:spacing w:after="40"/>
      </w:pPr>
    </w:p>
    <w:p>
      <w:pPr>
        <w:spacing w:after="40" w:before="0" w:line="2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↓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800"/>
        <w:gridCol w:w="6440"/>
      </w:tblGrid>
      <w:tr>
        <w:tc>
          <w:tcPr>
            <w:tcW w:type="dxa" w:w="6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BigQuery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8 tables: raw_content, enriched_content, trend_scores, trend_analysis, creator_briefs, trend_cycles, ugc_tracking, pipeline_runs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→</w:t>
            </w:r>
          </w:p>
        </w:tc>
        <w:tc>
          <w:tcPr>
            <w:tcW w:type="dxa" w:w="6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Scoring Engine (BigQuery SQL)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Composite: 25% velocity + 15% diversity + 15% engagement + 10% creator + 10% regional + 10% GenZ + 10% watchlist + 5% slang</w:t>
            </w:r>
          </w:p>
        </w:tc>
      </w:tr>
    </w:tbl>
    <w:p>
      <w:pPr>
        <w:spacing w:after="40"/>
      </w:pPr>
    </w:p>
    <w:p>
      <w:pPr>
        <w:spacing w:after="40" w:before="0" w:line="2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↓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Vertex AI Gemini 2.5 Flash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5 outputs per trend: Trend synthesis  |  Cultural context  |  Campaign angles  |  Nano Banana + Lyria prompts  |  Risk assessment</w:t>
            </w:r>
          </w:p>
        </w:tc>
      </w:tr>
    </w:tbl>
    <w:p>
      <w:pPr>
        <w:spacing w:after="40"/>
      </w:pPr>
    </w:p>
    <w:p>
      <w:pPr>
        <w:spacing w:after="40" w:before="0" w:line="2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↓                    ↓                    ↓                    ↓</w:t>
      </w:r>
    </w:p>
    <w:p>
      <w:pPr>
        <w:spacing w:after="60" w:before="0" w:line="280"/>
        <w:jc w:val="left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OUTPUTS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Looker Studio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TV dashboard, 3 tabs, auto-refresh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Creator Briefs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Google Sheet for influence team, 250 creators per cycle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Reports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Daily digest, 48h post go-live, 7-day detailed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Alerts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Slack and email on engagement spikes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46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Data Sources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R3,700/mo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GCP Services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R500/mo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Gemini + Looker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R270/mo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TOTAL: R4,470/mo (15% of R30K ceiling)</w:t>
            </w:r>
          </w:p>
        </w:tc>
      </w:tr>
    </w:tbl>
    <w:p>
      <w:pPr>
        <w:sectPr>
          <w:headerReference w:type="default" r:id="rId7"/>
          <w:footerReference w:type="default" r:id="rId8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60" w:line="3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Phase 2: Self-Hosted LLM (June to August 2026)</w:t>
      </w:r>
    </w:p>
    <w:p>
      <w:pPr>
        <w:spacing w:after="160" w:before="0" w:line="28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Self-hosted LLM with vector database, layered on top of Phase 1. Additional cost: R7,250 to R11,500/mo for GPU compute.</w:t>
      </w:r>
    </w:p>
    <w:p>
      <w:pPr>
        <w:spacing w:after="60"/>
      </w:pPr>
    </w:p>
    <w:p>
      <w:pPr>
        <w:spacing w:after="60" w:before="0" w:line="280"/>
        <w:jc w:val="left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PHASE 1 (CONTINUES RUNNING)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"/>
        <w:gridCol w:w="4540"/>
        <w:gridCol w:w="600"/>
        <w:gridCol w:w="394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Data Sources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EnsembleData, YouTube, GDELT, RSS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→</w:t>
            </w:r>
          </w:p>
        </w:tc>
        <w:tc>
          <w:tcPr>
            <w:tcW w:type="dxa" w:w="4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Ingest + Enrich + Score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Same Cloud Run Functions and BigQuery as Phase 1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→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BigQuery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All 8 tables, scored trends</w:t>
            </w:r>
          </w:p>
        </w:tc>
      </w:tr>
    </w:tbl>
    <w:p>
      <w:pPr>
        <w:spacing w:after="40"/>
      </w:pPr>
    </w:p>
    <w:p>
      <w:pPr>
        <w:spacing w:after="40" w:before="0" w:line="2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↓</w:t>
      </w:r>
    </w:p>
    <w:p>
      <w:pPr>
        <w:spacing w:after="60" w:before="0" w:line="280"/>
        <w:jc w:val="left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PHASE 2 ADDITIONS (NEW)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600"/>
        <w:gridCol w:w="4000"/>
        <w:gridCol w:w="600"/>
        <w:gridCol w:w="3940"/>
      </w:tblGrid>
      <w:tr>
        <w:tc>
          <w:tcPr>
            <w:tcW w:type="dxa" w:w="4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D174D"/>
                <w:sz w:val="20"/>
                <w:szCs w:val="20"/>
              </w:rPr>
              <w:t xml:space="preserve">Embedding Pipeline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AfriE5-Large-Instruct: converts every post into a vector. Trained on Swahili, Yoruba, Zulu, Xhosa, Igbo, Hausa, Amharic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→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D174D"/>
                <w:sz w:val="20"/>
                <w:szCs w:val="20"/>
              </w:rPr>
              <w:t xml:space="preserve">Qdrant Vector Database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Stores embeddings with metadata (date, market, platform, engagement). Filtered semantic search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→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D174D"/>
                <w:sz w:val="20"/>
                <w:szCs w:val="20"/>
              </w:rPr>
              <w:t xml:space="preserve">Qwen 3 14B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Local LLM on GCP g2-standard-8 with NVIDIA L4 GPU (24 GB VRAM). Served via Ollama</w:t>
            </w:r>
          </w:p>
        </w:tc>
      </w:tr>
    </w:tbl>
    <w:p>
      <w:pPr>
        <w:spacing w:after="40"/>
      </w:pPr>
    </w:p>
    <w:p>
      <w:pPr>
        <w:spacing w:after="40" w:before="0" w:line="2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↓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D174D"/>
                <w:sz w:val="20"/>
                <w:szCs w:val="20"/>
              </w:rPr>
              <w:t xml:space="preserve">LangGraph Agentic RAG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LLM reasons through multiple retrieval cycles. 5 tools: vector search, temporal analysis, engagement scoring, regional distribution, sentiment</w:t>
            </w:r>
          </w:p>
        </w:tc>
      </w:tr>
    </w:tbl>
    <w:p>
      <w:pPr>
        <w:spacing w:after="40"/>
      </w:pPr>
    </w:p>
    <w:p>
      <w:pPr>
        <w:spacing w:after="40" w:before="0" w:line="2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↓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D174D"/>
                <w:sz w:val="20"/>
                <w:szCs w:val="20"/>
              </w:rPr>
              <w:t xml:space="preserve">Wildfire Discovery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Finds trends outside configured keywords. Detects semantic clusters, cross-topic convergence, emerging patterns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Shadow Mode Validation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Runs parallel with Phase 1 Gemini output for 2 weeks. Human review compares quality before switchover</w:t>
            </w:r>
          </w:p>
        </w:tc>
      </w:tr>
    </w:tbl>
    <w:p>
      <w:pPr>
        <w:spacing w:after="40"/>
      </w:pPr>
    </w:p>
    <w:p>
      <w:pPr>
        <w:spacing w:after="40" w:before="0" w:line="2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↓</w:t>
      </w:r>
    </w:p>
    <w:p>
      <w:pPr>
        <w:spacing w:after="60" w:before="0" w:line="280"/>
        <w:jc w:val="left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OUTPUTS (SAME AS PHASE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Looker Studio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Same TV dashboard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Creator Briefs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Now with AI-discovered trends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Reports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Same reporting cadence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Alerts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Same alert pipeline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46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Phase 1 (carried over)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R4,470/mo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D174D"/>
                <w:sz w:val="18"/>
                <w:szCs w:val="18"/>
              </w:rPr>
              <w:t xml:space="preserve">GPU Instance (committed)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R7,250/mo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D174D"/>
                <w:sz w:val="18"/>
                <w:szCs w:val="18"/>
              </w:rPr>
              <w:t xml:space="preserve">GPU Instance (on-demand)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R11,500/mo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TOTAL: R11,700 to R16,000/mo (39-53% of R30K ceiling)</w:t>
            </w:r>
          </w:p>
        </w:tc>
      </w:tr>
    </w:tbl>
    <w:p>
      <w:pPr>
        <w:spacing w:after="1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Phase 1: Monitoring Mode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Finds trends you configured keywords for. Fast, reliable, Google-native.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D174D"/>
                <w:sz w:val="20"/>
                <w:szCs w:val="20"/>
              </w:rPr>
              <w:t xml:space="preserve">Phase 2: Intelligence Mode</w:t>
            </w:r>
          </w:p>
          <w:p>
            <w:pPr>
              <w:spacing w:after="40" w:line="2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Finds trends you did not think to look for. Semantic clustering, cross-topic patterns, emergent signals.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Albert Meintjes  |  10 April 2026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Trends Engine V2: Architecture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2026-04-10T12:30:41.544Z</dcterms:created>
  <dcterms:modified xsi:type="dcterms:W3CDTF">2026-04-10T12:30:41.544Z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