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Implementação de Árvores AVL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Utilizando a linguagem de programação Python para implementar árvores AVL.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8761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Faz a importação da classe Tree no pacote G1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Tree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8761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Inicializa a variável t1 com o valor da classe Tree, passando como parâmetro o valor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t1 = Tree.Tree(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Função de inicialização da classe Tree que receber o valor por parâmetro, insere na árvore e chama a função setaFilhos.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info):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.info = info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.setaFilhos(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Função setaFilhos recebe como parâmetro os valore da árvore e insere na árvore.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setaFilhos(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esquerda, direita):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.esquerda = esquerda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.direita = direita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Chama a função insere e passa como parâmetro o valor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t1.insere(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Função insere, receber um valor como parâmetro e insere na árvore.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info):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Verifica se o valor informado é menor ou igual ao valor no nó da árvore.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info &lt;=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.info: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Verifica se existe valor na árvore do lado esquerdo.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.esquerda: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Se não existe valor na árvore do lado esquerdo, insere na raiz do lado esquerdo o valor informado no parâmetro.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.esquerda = Tree(info)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.esquerda.insere(info)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.direita: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.direita = Tree(info)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.direita.insere(info)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.executaBalanco()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